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2" w:firstLineChars="100"/>
        <w:jc w:val="center"/>
        <w:rPr>
          <w:rFonts w:ascii="MyFont" w:hAnsi="MyFont" w:eastAsia="MyFont" w:cs="MyFont"/>
          <w:i w:val="0"/>
          <w:iCs w:val="0"/>
          <w:caps w:val="0"/>
          <w:spacing w:val="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0"/>
          <w:sz w:val="44"/>
          <w:szCs w:val="44"/>
          <w:bdr w:val="none" w:color="auto" w:sz="0" w:space="0"/>
        </w:rPr>
        <w:t>李克强主持召开国务院常务会议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原标题：李克强主持召开国务院常务会议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决定对部分行政事业性收费和保证金实行阶段性缓缴 进一步帮助市场主体减负纾困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部署推进政务服务“跨省通办”扩面增效举措 激发市场活力便利群众生活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部署抓好秋粮收获和加强农业农村基础设施建设的措施 确保秋收入库提升农业生产能力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确定对政策支持商业化运营的个人养老金予以税收优惠 满足多样化需求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通过《促进个体工商户发展条例（草案）》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新华社北京9月27日电 国务院总理李克强9月26日主持召开国务院常务会议，决定对部分行政事业性收费和保证金实行阶段性缓缴，进一步帮助市场主体减负纾困；部署推进政务服务“跨省通办”扩面增效举措，激发市场活力，便利群众生活；部署抓好秋粮收获和加强农业农村基础设施建设的措施，确保秋收入库，提升农业生产能力；确定对政策支持、商业化运营的个人养老金予以税收优惠，满足多样化需求；通过《促进个体工商户发展条例（草案）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会议指出，稳增长稳就业保民生，关键要保市场主体。要贯彻党中央、国务院部署，针对市场主体特别是中小微企业、个体工商户和制造业困难大的实际，加大纾困力度，促进经济回稳向上。在第四季度，再实行一批收费缓缴。一是缓缴耕地开垦费、污水和生活垃圾处理费等14项行政事业性收费，规模530多亿元，不收滞纳金。鼓励各地对地方涉企行政事业性收费实行缓缴，严禁乱收费。二是缓缴各类工程项目质量保证金，规模约630亿元。三是落实责任，言必行、行必果，确保市场主体受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会议指出，政务服务“跨省通办”是深化“放管服”改革的重要举措，有利于降低办事成本，进一步激发市场活力，便利群众异地工作生活。会议决定，一是在已实现187项政务服务“跨省通办”基础上，聚焦企业和群众关切，新增22项覆盖面广、办理频次高的事项。对企业，实现电子缴税、完税证明开具、社保费申报等“跨省通办”；对个人，实现临时身份证办理、城乡居民养老保险登记和待遇申请、门诊慢特病费用结算等“跨省通办”。二是加强政府部门信息共享，统一业务标准，推动更多“跨省通办”事项网上办、一次办；满足老年人等线下办事需求，推行帮办代办等服务。三是依法保护个人隐私和企业商业秘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会议指出，民以食为天。从秋粮情况看，全年粮食产量能够实现1.3万亿斤以上目标。要不误农时抢收秋粮，确保丰收入库，落实秋冬种面积。加快农业农村基础设施在建项目建设，开工一批新项目，年内完成投资3000亿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会议指出，发展政策支持、商业化运营的个人养老金，是对基本养老保险的补充，有利于更好满足群众多样化需求、提升保障水平。会议决定，对政策支持、商业化运营的个人养老金实行个人所得税优惠：对缴费者按每年12000元的限额予以税前扣除，投资收益暂不征税，领取收入的实际税负由7.5%降为3%。政策实施追溯到今年1月1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会议指出，我国有1.6亿户市场主体，其中个体工商户达1.1亿户。个体工商户对促就业惠民生扩需求、畅通经济微循环等具有独特而重要作用，要强化法治保障。会议通过《促进个体工商户发展条例（草案）》，明确实行平等准入、公平待遇，依法保护财产权、经营自主权，将登记和税费金融支持等行之有效做法上升为法规；个体工商户要依法诚信经营，任何单位和个人不得侵害其合法权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会议研究了其他事项。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TY1MmVkMjE1OThkMWE0OGQ4OTM0YjYwYjUwMGMifQ=="/>
  </w:docVars>
  <w:rsids>
    <w:rsidRoot w:val="3E161CC7"/>
    <w:rsid w:val="3E1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2022-09-28T06:56:00Z</dcterms:created>
  <dc:creator>Summer</dc:creator>
  <cp:lastModifiedBy>Summer</cp:lastModifiedBy>
  <dcterms:modified xsi:type="dcterms:W3CDTF">2022-09-28T06:58:50Z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666906D811164FA2A987A6A5AE15A057</vt:lpwstr>
  </property>
</Properties>
</file>