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48"/>
          <w:szCs w:val="48"/>
        </w:rPr>
      </w:pPr>
    </w:p>
    <w:p>
      <w:pPr>
        <w:adjustRightInd w:val="0"/>
        <w:snapToGrid w:val="0"/>
        <w:jc w:val="center"/>
        <w:outlineLvl w:val="0"/>
        <w:rPr>
          <w:rFonts w:hint="eastAsia" w:ascii="宋体" w:hAnsi="宋体" w:eastAsia="宋体" w:cs="宋体"/>
          <w:bCs/>
          <w:color w:val="auto"/>
          <w:sz w:val="72"/>
          <w:szCs w:val="72"/>
        </w:rPr>
      </w:pPr>
      <w:bookmarkStart w:id="0" w:name="_Toc4114"/>
      <w:bookmarkStart w:id="1" w:name="_Toc1970"/>
      <w:bookmarkStart w:id="2" w:name="_Toc13222"/>
      <w:r>
        <w:rPr>
          <w:rFonts w:hint="eastAsia" w:ascii="宋体" w:hAnsi="宋体" w:eastAsia="宋体" w:cs="宋体"/>
          <w:bCs/>
          <w:color w:val="auto"/>
          <w:sz w:val="72"/>
          <w:szCs w:val="72"/>
        </w:rPr>
        <w:t>建设项目环境影响报告表</w:t>
      </w:r>
      <w:bookmarkEnd w:id="0"/>
      <w:bookmarkEnd w:id="1"/>
      <w:bookmarkEnd w:id="2"/>
    </w:p>
    <w:p>
      <w:pPr>
        <w:adjustRightInd w:val="0"/>
        <w:snapToGrid w:val="0"/>
        <w:spacing w:before="192" w:beforeLines="80"/>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（污染影响类）</w:t>
      </w:r>
    </w:p>
    <w:p>
      <w:pPr>
        <w:adjustRightInd w:val="0"/>
        <w:snapToGrid w:val="0"/>
        <w:spacing w:line="288" w:lineRule="auto"/>
        <w:jc w:val="center"/>
        <w:outlineLvl w:val="9"/>
        <w:rPr>
          <w:rFonts w:hint="eastAsia" w:ascii="宋体" w:hAnsi="宋体" w:eastAsia="宋体" w:cs="宋体"/>
          <w:color w:val="auto"/>
          <w:kern w:val="44"/>
          <w:sz w:val="24"/>
          <w:szCs w:val="24"/>
        </w:rPr>
      </w:pPr>
    </w:p>
    <w:p>
      <w:pPr>
        <w:jc w:val="center"/>
        <w:rPr>
          <w:rFonts w:hint="eastAsia" w:ascii="宋体" w:hAnsi="宋体" w:eastAsia="宋体" w:cs="宋体"/>
          <w:color w:val="auto"/>
          <w:sz w:val="24"/>
          <w:szCs w:val="24"/>
        </w:rPr>
      </w:pPr>
    </w:p>
    <w:p>
      <w:pPr>
        <w:ind w:firstLine="1040"/>
        <w:rPr>
          <w:rFonts w:hint="eastAsia" w:ascii="宋体" w:hAnsi="宋体" w:eastAsia="宋体" w:cs="宋体"/>
          <w:color w:val="auto"/>
          <w:sz w:val="24"/>
          <w:szCs w:val="24"/>
        </w:rPr>
      </w:pPr>
    </w:p>
    <w:p>
      <w:pPr>
        <w:ind w:firstLine="1040"/>
        <w:rPr>
          <w:rFonts w:hint="eastAsia" w:ascii="宋体" w:hAnsi="宋体" w:eastAsia="宋体" w:cs="宋体"/>
          <w:color w:val="auto"/>
          <w:sz w:val="24"/>
          <w:szCs w:val="24"/>
        </w:rPr>
      </w:pPr>
    </w:p>
    <w:p>
      <w:pPr>
        <w:ind w:firstLine="1040"/>
        <w:rPr>
          <w:rFonts w:hint="eastAsia" w:ascii="宋体" w:hAnsi="宋体" w:eastAsia="宋体" w:cs="宋体"/>
          <w:color w:val="auto"/>
          <w:sz w:val="24"/>
          <w:szCs w:val="24"/>
        </w:rPr>
      </w:pPr>
    </w:p>
    <w:p>
      <w:pPr>
        <w:spacing w:line="360" w:lineRule="auto"/>
        <w:ind w:firstLine="1040"/>
        <w:rPr>
          <w:rFonts w:hint="eastAsia" w:ascii="宋体" w:hAnsi="宋体" w:eastAsia="宋体" w:cs="宋体"/>
          <w:color w:val="auto"/>
          <w:sz w:val="36"/>
          <w:szCs w:val="36"/>
        </w:rPr>
      </w:pPr>
    </w:p>
    <w:p>
      <w:pPr>
        <w:adjustRightInd w:val="0"/>
        <w:snapToGrid w:val="0"/>
        <w:spacing w:line="360" w:lineRule="auto"/>
        <w:ind w:firstLine="1040"/>
        <w:jc w:val="center"/>
        <w:rPr>
          <w:rFonts w:hint="eastAsia" w:ascii="宋体" w:hAnsi="宋体" w:eastAsia="宋体" w:cs="宋体"/>
          <w:color w:val="auto"/>
          <w:sz w:val="36"/>
          <w:szCs w:val="36"/>
          <w:u w:val="single"/>
        </w:rPr>
      </w:pPr>
      <w:r>
        <w:rPr>
          <w:rFonts w:hint="eastAsia" w:ascii="宋体" w:hAnsi="宋体" w:eastAsia="宋体" w:cs="宋体"/>
          <w:color w:val="auto"/>
          <w:sz w:val="36"/>
          <w:szCs w:val="36"/>
        </w:rPr>
        <w:t xml:space="preserve">项目名称： </w:t>
      </w:r>
      <w:r>
        <w:rPr>
          <w:rFonts w:hint="eastAsia" w:ascii="宋体" w:hAnsi="宋体" w:eastAsia="宋体" w:cs="宋体"/>
          <w:color w:val="auto"/>
          <w:sz w:val="36"/>
          <w:szCs w:val="36"/>
          <w:u w:val="single"/>
        </w:rPr>
        <w:t>勐海县</w:t>
      </w:r>
      <w:r>
        <w:rPr>
          <w:rFonts w:hint="eastAsia" w:ascii="宋体" w:hAnsi="宋体" w:eastAsia="宋体" w:cs="宋体"/>
          <w:color w:val="auto"/>
          <w:sz w:val="36"/>
          <w:szCs w:val="36"/>
          <w:u w:val="single"/>
          <w:lang w:val="en-US" w:eastAsia="zh-CN"/>
        </w:rPr>
        <w:t>勐海</w:t>
      </w:r>
      <w:r>
        <w:rPr>
          <w:rFonts w:hint="eastAsia" w:ascii="宋体" w:hAnsi="宋体" w:eastAsia="宋体" w:cs="宋体"/>
          <w:color w:val="auto"/>
          <w:sz w:val="36"/>
          <w:szCs w:val="36"/>
          <w:u w:val="single"/>
        </w:rPr>
        <w:t>镇卫生院建设项目</w:t>
      </w:r>
    </w:p>
    <w:p>
      <w:pPr>
        <w:adjustRightInd w:val="0"/>
        <w:snapToGrid w:val="0"/>
        <w:spacing w:line="360" w:lineRule="auto"/>
        <w:ind w:firstLine="1040"/>
        <w:jc w:val="center"/>
        <w:rPr>
          <w:rFonts w:hint="eastAsia" w:ascii="宋体" w:hAnsi="宋体" w:eastAsia="宋体" w:cs="宋体"/>
          <w:color w:val="auto"/>
          <w:sz w:val="36"/>
          <w:szCs w:val="36"/>
          <w:u w:val="single"/>
        </w:rPr>
      </w:pPr>
      <w:r>
        <w:rPr>
          <w:rFonts w:hint="eastAsia" w:ascii="宋体" w:hAnsi="宋体" w:eastAsia="宋体" w:cs="宋体"/>
          <w:color w:val="auto"/>
          <w:sz w:val="36"/>
          <w:szCs w:val="36"/>
        </w:rPr>
        <w:t>建设单位（盖章）：</w:t>
      </w:r>
      <w:r>
        <w:rPr>
          <w:rFonts w:hint="eastAsia" w:ascii="宋体" w:hAnsi="宋体" w:eastAsia="宋体" w:cs="宋体"/>
          <w:color w:val="auto"/>
          <w:sz w:val="36"/>
          <w:szCs w:val="36"/>
          <w:u w:val="single"/>
        </w:rPr>
        <w:t>勐海县勐</w:t>
      </w:r>
      <w:r>
        <w:rPr>
          <w:rFonts w:hint="eastAsia" w:ascii="宋体" w:hAnsi="宋体" w:cs="宋体"/>
          <w:color w:val="auto"/>
          <w:sz w:val="36"/>
          <w:szCs w:val="36"/>
          <w:u w:val="single"/>
          <w:lang w:val="en-US" w:eastAsia="zh-CN"/>
        </w:rPr>
        <w:t>海</w:t>
      </w:r>
      <w:r>
        <w:rPr>
          <w:rFonts w:hint="eastAsia" w:ascii="宋体" w:hAnsi="宋体" w:eastAsia="宋体" w:cs="宋体"/>
          <w:color w:val="auto"/>
          <w:sz w:val="36"/>
          <w:szCs w:val="36"/>
          <w:u w:val="single"/>
        </w:rPr>
        <w:t>镇卫生院</w:t>
      </w:r>
    </w:p>
    <w:p>
      <w:pPr>
        <w:adjustRightInd w:val="0"/>
        <w:snapToGrid w:val="0"/>
        <w:spacing w:line="360" w:lineRule="auto"/>
        <w:ind w:firstLine="1040"/>
        <w:jc w:val="center"/>
        <w:rPr>
          <w:rFonts w:hint="eastAsia" w:ascii="宋体" w:hAnsi="宋体" w:eastAsia="宋体" w:cs="宋体"/>
          <w:color w:val="auto"/>
          <w:sz w:val="36"/>
          <w:szCs w:val="36"/>
          <w:u w:val="single"/>
        </w:rPr>
      </w:pPr>
      <w:r>
        <w:rPr>
          <w:rFonts w:hint="eastAsia" w:ascii="宋体" w:hAnsi="宋体" w:eastAsia="宋体" w:cs="宋体"/>
          <w:color w:val="auto"/>
          <w:sz w:val="36"/>
          <w:szCs w:val="36"/>
        </w:rPr>
        <w:t>编制日期：</w:t>
      </w:r>
      <w:r>
        <w:rPr>
          <w:rFonts w:hint="eastAsia" w:ascii="宋体" w:hAnsi="宋体" w:eastAsia="宋体" w:cs="宋体"/>
          <w:color w:val="auto"/>
          <w:sz w:val="36"/>
          <w:szCs w:val="36"/>
          <w:u w:val="single"/>
        </w:rPr>
        <w:t xml:space="preserve">   </w:t>
      </w:r>
      <w:r>
        <w:rPr>
          <w:rFonts w:hint="eastAsia" w:ascii="宋体" w:hAnsi="宋体" w:cs="宋体"/>
          <w:color w:val="auto"/>
          <w:sz w:val="36"/>
          <w:szCs w:val="36"/>
          <w:u w:val="single"/>
          <w:lang w:val="en-US" w:eastAsia="zh-CN"/>
        </w:rPr>
        <w:t>二〇二四</w:t>
      </w:r>
      <w:r>
        <w:rPr>
          <w:rFonts w:hint="eastAsia" w:ascii="宋体" w:hAnsi="宋体" w:eastAsia="宋体" w:cs="宋体"/>
          <w:color w:val="auto"/>
          <w:sz w:val="36"/>
          <w:szCs w:val="36"/>
          <w:u w:val="single"/>
          <w:lang w:val="en-US" w:eastAsia="zh-CN"/>
        </w:rPr>
        <w:t>年</w:t>
      </w:r>
      <w:r>
        <w:rPr>
          <w:rFonts w:hint="eastAsia" w:ascii="宋体" w:hAnsi="宋体" w:cs="宋体"/>
          <w:color w:val="auto"/>
          <w:sz w:val="36"/>
          <w:szCs w:val="36"/>
          <w:u w:val="single"/>
          <w:lang w:val="en-US" w:eastAsia="zh-CN"/>
        </w:rPr>
        <w:t>三</w:t>
      </w:r>
      <w:r>
        <w:rPr>
          <w:rFonts w:hint="eastAsia" w:ascii="宋体" w:hAnsi="宋体" w:eastAsia="宋体" w:cs="宋体"/>
          <w:color w:val="auto"/>
          <w:sz w:val="36"/>
          <w:szCs w:val="36"/>
          <w:u w:val="single"/>
          <w:lang w:val="en-US" w:eastAsia="zh-CN"/>
        </w:rPr>
        <w:t>月</w:t>
      </w:r>
    </w:p>
    <w:p>
      <w:pPr>
        <w:adjustRightInd w:val="0"/>
        <w:snapToGrid w:val="0"/>
        <w:spacing w:line="288" w:lineRule="auto"/>
        <w:ind w:firstLine="1040"/>
        <w:rPr>
          <w:rFonts w:hint="eastAsia" w:ascii="宋体" w:hAnsi="宋体" w:eastAsia="宋体" w:cs="宋体"/>
          <w:color w:val="auto"/>
          <w:sz w:val="32"/>
          <w:szCs w:val="32"/>
          <w:u w:val="single"/>
        </w:rPr>
      </w:pPr>
      <w:bookmarkStart w:id="3" w:name="_Hlk57884087"/>
    </w:p>
    <w:p>
      <w:pPr>
        <w:adjustRightInd w:val="0"/>
        <w:snapToGrid w:val="0"/>
        <w:spacing w:line="288" w:lineRule="auto"/>
        <w:ind w:firstLine="1040"/>
        <w:rPr>
          <w:rFonts w:hint="eastAsia" w:ascii="宋体" w:hAnsi="宋体" w:eastAsia="宋体" w:cs="宋体"/>
          <w:color w:val="auto"/>
          <w:sz w:val="32"/>
          <w:szCs w:val="32"/>
        </w:rPr>
      </w:pPr>
    </w:p>
    <w:p>
      <w:pPr>
        <w:adjustRightInd w:val="0"/>
        <w:snapToGrid w:val="0"/>
        <w:spacing w:line="288" w:lineRule="auto"/>
        <w:ind w:firstLine="1040"/>
        <w:rPr>
          <w:rFonts w:hint="eastAsia" w:ascii="宋体" w:hAnsi="宋体" w:eastAsia="宋体" w:cs="宋体"/>
          <w:color w:val="auto"/>
          <w:sz w:val="32"/>
          <w:szCs w:val="32"/>
        </w:rPr>
      </w:pPr>
    </w:p>
    <w:p>
      <w:pPr>
        <w:adjustRightInd w:val="0"/>
        <w:snapToGrid w:val="0"/>
        <w:spacing w:line="288" w:lineRule="auto"/>
        <w:ind w:firstLine="1040"/>
        <w:rPr>
          <w:rFonts w:hint="eastAsia" w:ascii="宋体" w:hAnsi="宋体" w:eastAsia="宋体" w:cs="宋体"/>
          <w:color w:val="auto"/>
          <w:sz w:val="32"/>
          <w:szCs w:val="32"/>
        </w:rPr>
      </w:pPr>
    </w:p>
    <w:p>
      <w:pPr>
        <w:adjustRightInd w:val="0"/>
        <w:snapToGrid w:val="0"/>
        <w:spacing w:line="288" w:lineRule="auto"/>
        <w:ind w:firstLine="1040"/>
        <w:rPr>
          <w:rFonts w:hint="eastAsia" w:ascii="宋体" w:hAnsi="宋体" w:eastAsia="宋体" w:cs="宋体"/>
          <w:color w:val="auto"/>
          <w:sz w:val="32"/>
          <w:szCs w:val="32"/>
        </w:rPr>
      </w:pPr>
    </w:p>
    <w:bookmarkEnd w:id="3"/>
    <w:p>
      <w:pPr>
        <w:bidi w:val="0"/>
        <w:jc w:val="center"/>
        <w:rPr>
          <w:rFonts w:hint="eastAsia" w:ascii="宋体" w:hAnsi="宋体" w:eastAsia="宋体" w:cs="宋体"/>
          <w:color w:val="auto"/>
          <w:sz w:val="44"/>
          <w:szCs w:val="44"/>
        </w:rPr>
      </w:pPr>
      <w:bookmarkStart w:id="4" w:name="_Toc20253"/>
      <w:r>
        <w:rPr>
          <w:rFonts w:hint="eastAsia" w:ascii="宋体" w:hAnsi="宋体" w:eastAsia="宋体" w:cs="宋体"/>
          <w:color w:val="auto"/>
          <w:sz w:val="44"/>
          <w:szCs w:val="44"/>
        </w:rPr>
        <w:t>中华人民共和国生态环境部制</w:t>
      </w:r>
      <w:bookmarkEnd w:id="4"/>
    </w:p>
    <w:p>
      <w:pPr>
        <w:adjustRightInd w:val="0"/>
        <w:snapToGrid w:val="0"/>
        <w:spacing w:line="288" w:lineRule="auto"/>
        <w:ind w:firstLine="1040"/>
        <w:rPr>
          <w:rFonts w:hint="eastAsia" w:ascii="宋体" w:hAnsi="宋体" w:eastAsia="宋体" w:cs="宋体"/>
          <w:color w:val="auto"/>
          <w:sz w:val="32"/>
          <w:szCs w:val="32"/>
        </w:rPr>
        <w:sectPr>
          <w:footerReference r:id="rId3" w:type="default"/>
          <w:footerReference r:id="rId4" w:type="even"/>
          <w:pgSz w:w="11906" w:h="16838"/>
          <w:pgMar w:top="1701" w:right="1531" w:bottom="1701" w:left="1531" w:header="851" w:footer="1077" w:gutter="0"/>
          <w:pgNumType w:fmt="decimal" w:start="3"/>
          <w:cols w:space="720" w:num="1"/>
          <w:docGrid w:linePitch="312" w:charSpace="0"/>
        </w:sectPr>
      </w:pPr>
    </w:p>
    <w:p>
      <w:pPr>
        <w:spacing w:before="0" w:beforeLines="0" w:after="0" w:afterLines="0" w:line="240" w:lineRule="auto"/>
        <w:ind w:left="0" w:leftChars="0" w:right="0" w:rightChars="0"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目录</w:t>
      </w:r>
    </w:p>
    <w:p>
      <w:pPr>
        <w:pStyle w:val="19"/>
        <w:tabs>
          <w:tab w:val="right" w:leader="dot" w:pos="8844"/>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TOC \o "1-2" \h \u </w:instrText>
      </w:r>
      <w:r>
        <w:rPr>
          <w:rFonts w:hint="eastAsia" w:ascii="宋体" w:hAnsi="宋体" w:eastAsia="宋体" w:cs="宋体"/>
          <w:color w:val="auto"/>
          <w:sz w:val="24"/>
          <w:szCs w:val="24"/>
        </w:rPr>
        <w:fldChar w:fldCharType="separate"/>
      </w:r>
    </w:p>
    <w:p>
      <w:pPr>
        <w:pStyle w:val="19"/>
        <w:tabs>
          <w:tab w:val="right" w:leader="dot" w:pos="8844"/>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_Toc11089 </w:instrText>
      </w:r>
      <w:r>
        <w:rPr>
          <w:rFonts w:hint="eastAsia" w:ascii="宋体" w:hAnsi="宋体" w:eastAsia="宋体" w:cs="宋体"/>
          <w:color w:val="auto"/>
          <w:sz w:val="28"/>
          <w:szCs w:val="28"/>
        </w:rPr>
        <w:fldChar w:fldCharType="separate"/>
      </w:r>
      <w:r>
        <w:rPr>
          <w:rFonts w:hint="eastAsia" w:ascii="宋体" w:hAnsi="宋体" w:eastAsia="宋体" w:cs="宋体"/>
          <w:snapToGrid w:val="0"/>
          <w:color w:val="auto"/>
          <w:sz w:val="28"/>
          <w:szCs w:val="28"/>
        </w:rPr>
        <w:t>一、建设项目基本情况</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_Toc11089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9"/>
        <w:tabs>
          <w:tab w:val="right" w:leader="dot" w:pos="8844"/>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_Toc16958 </w:instrText>
      </w:r>
      <w:r>
        <w:rPr>
          <w:rFonts w:hint="eastAsia" w:ascii="宋体" w:hAnsi="宋体" w:eastAsia="宋体" w:cs="宋体"/>
          <w:color w:val="auto"/>
          <w:sz w:val="28"/>
          <w:szCs w:val="28"/>
        </w:rPr>
        <w:fldChar w:fldCharType="separate"/>
      </w:r>
      <w:r>
        <w:rPr>
          <w:rFonts w:hint="eastAsia" w:ascii="宋体" w:hAnsi="宋体" w:eastAsia="宋体" w:cs="宋体"/>
          <w:snapToGrid w:val="0"/>
          <w:color w:val="auto"/>
          <w:sz w:val="28"/>
          <w:szCs w:val="28"/>
        </w:rPr>
        <w:t>二、建设项目工程分析</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5</w:t>
      </w:r>
    </w:p>
    <w:p>
      <w:pPr>
        <w:pStyle w:val="19"/>
        <w:tabs>
          <w:tab w:val="right" w:leader="dot" w:pos="8844"/>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_Toc19992 </w:instrText>
      </w:r>
      <w:r>
        <w:rPr>
          <w:rFonts w:hint="eastAsia" w:ascii="宋体" w:hAnsi="宋体" w:eastAsia="宋体" w:cs="宋体"/>
          <w:color w:val="auto"/>
          <w:sz w:val="28"/>
          <w:szCs w:val="28"/>
        </w:rPr>
        <w:fldChar w:fldCharType="separate"/>
      </w:r>
      <w:r>
        <w:rPr>
          <w:rFonts w:hint="eastAsia" w:ascii="宋体" w:hAnsi="宋体" w:eastAsia="宋体" w:cs="宋体"/>
          <w:snapToGrid w:val="0"/>
          <w:color w:val="auto"/>
          <w:sz w:val="28"/>
          <w:szCs w:val="28"/>
        </w:rPr>
        <w:t>三、区域环境质量现状、环境保护目标及评价标准</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0</w:t>
      </w:r>
    </w:p>
    <w:p>
      <w:pPr>
        <w:pStyle w:val="19"/>
        <w:tabs>
          <w:tab w:val="right" w:leader="dot" w:pos="8844"/>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_Toc17081 </w:instrText>
      </w:r>
      <w:r>
        <w:rPr>
          <w:rFonts w:hint="eastAsia" w:ascii="宋体" w:hAnsi="宋体" w:eastAsia="宋体" w:cs="宋体"/>
          <w:color w:val="auto"/>
          <w:sz w:val="28"/>
          <w:szCs w:val="28"/>
        </w:rPr>
        <w:fldChar w:fldCharType="separate"/>
      </w:r>
      <w:r>
        <w:rPr>
          <w:rFonts w:hint="eastAsia" w:ascii="宋体" w:hAnsi="宋体" w:eastAsia="宋体" w:cs="宋体"/>
          <w:snapToGrid w:val="0"/>
          <w:color w:val="auto"/>
          <w:sz w:val="28"/>
          <w:szCs w:val="28"/>
        </w:rPr>
        <w:t>四、主要环境影响和保护措施</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7</w:t>
      </w:r>
    </w:p>
    <w:p>
      <w:pPr>
        <w:pStyle w:val="19"/>
        <w:tabs>
          <w:tab w:val="right" w:leader="dot" w:pos="8844"/>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_Toc130 </w:instrText>
      </w:r>
      <w:r>
        <w:rPr>
          <w:rFonts w:hint="eastAsia" w:ascii="宋体" w:hAnsi="宋体" w:eastAsia="宋体" w:cs="宋体"/>
          <w:color w:val="auto"/>
          <w:sz w:val="28"/>
          <w:szCs w:val="28"/>
        </w:rPr>
        <w:fldChar w:fldCharType="separate"/>
      </w:r>
      <w:r>
        <w:rPr>
          <w:rFonts w:hint="eastAsia" w:ascii="宋体" w:hAnsi="宋体" w:eastAsia="宋体" w:cs="宋体"/>
          <w:snapToGrid w:val="0"/>
          <w:color w:val="auto"/>
          <w:sz w:val="28"/>
          <w:szCs w:val="28"/>
        </w:rPr>
        <w:t>五、环境保护措施监督检查清单</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8</w:t>
      </w:r>
    </w:p>
    <w:p>
      <w:pPr>
        <w:pStyle w:val="19"/>
        <w:tabs>
          <w:tab w:val="right" w:leader="dot" w:pos="8844"/>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_Toc7431 </w:instrText>
      </w:r>
      <w:r>
        <w:rPr>
          <w:rFonts w:hint="eastAsia" w:ascii="宋体" w:hAnsi="宋体" w:eastAsia="宋体" w:cs="宋体"/>
          <w:color w:val="auto"/>
          <w:sz w:val="28"/>
          <w:szCs w:val="28"/>
        </w:rPr>
        <w:fldChar w:fldCharType="separate"/>
      </w:r>
      <w:r>
        <w:rPr>
          <w:rFonts w:hint="eastAsia" w:ascii="宋体" w:hAnsi="宋体" w:eastAsia="宋体" w:cs="宋体"/>
          <w:snapToGrid w:val="0"/>
          <w:color w:val="auto"/>
          <w:sz w:val="28"/>
          <w:szCs w:val="28"/>
        </w:rPr>
        <w:t>六、结论</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8</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2</w:t>
      </w:r>
    </w:p>
    <w:p>
      <w:pPr>
        <w:rPr>
          <w:rFonts w:hint="eastAsia" w:ascii="宋体" w:hAnsi="宋体" w:eastAsia="宋体" w:cs="宋体"/>
          <w:color w:val="auto"/>
          <w:sz w:val="24"/>
          <w:szCs w:val="24"/>
        </w:rPr>
      </w:pPr>
      <w:r>
        <w:rPr>
          <w:rFonts w:hint="eastAsia" w:ascii="宋体" w:hAnsi="宋体" w:eastAsia="宋体" w:cs="宋体"/>
          <w:color w:val="auto"/>
          <w:sz w:val="24"/>
          <w:szCs w:val="24"/>
        </w:rPr>
        <w:fldChar w:fldCharType="end"/>
      </w: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附图</w:t>
      </w:r>
    </w:p>
    <w:p>
      <w:pPr>
        <w:rPr>
          <w:rFonts w:hint="eastAsia" w:ascii="宋体" w:hAnsi="宋体" w:eastAsia="宋体" w:cs="宋体"/>
          <w:color w:val="auto"/>
          <w:sz w:val="28"/>
          <w:szCs w:val="28"/>
        </w:rPr>
      </w:pPr>
      <w:r>
        <w:rPr>
          <w:rFonts w:hint="eastAsia" w:ascii="宋体" w:hAnsi="宋体" w:eastAsia="宋体" w:cs="宋体"/>
          <w:color w:val="auto"/>
          <w:sz w:val="28"/>
          <w:szCs w:val="28"/>
        </w:rPr>
        <w:t>附图1项目地理位置及水系图</w:t>
      </w:r>
    </w:p>
    <w:p>
      <w:pPr>
        <w:rPr>
          <w:rFonts w:hint="eastAsia" w:ascii="宋体" w:hAnsi="宋体" w:eastAsia="宋体" w:cs="宋体"/>
          <w:color w:val="auto"/>
          <w:sz w:val="28"/>
          <w:szCs w:val="28"/>
        </w:rPr>
      </w:pPr>
      <w:r>
        <w:rPr>
          <w:rFonts w:hint="eastAsia" w:ascii="宋体" w:hAnsi="宋体" w:eastAsia="宋体" w:cs="宋体"/>
          <w:color w:val="auto"/>
          <w:sz w:val="28"/>
          <w:szCs w:val="28"/>
        </w:rPr>
        <w:t>附图2大气环境保护范围及周边保护目标</w:t>
      </w:r>
    </w:p>
    <w:p>
      <w:pPr>
        <w:rPr>
          <w:rFonts w:hint="eastAsia" w:ascii="宋体" w:hAnsi="宋体" w:eastAsia="宋体" w:cs="宋体"/>
          <w:color w:val="auto"/>
          <w:sz w:val="28"/>
          <w:szCs w:val="28"/>
        </w:rPr>
      </w:pPr>
      <w:r>
        <w:rPr>
          <w:rFonts w:hint="eastAsia" w:ascii="宋体" w:hAnsi="宋体" w:eastAsia="宋体" w:cs="宋体"/>
          <w:color w:val="auto"/>
          <w:sz w:val="28"/>
          <w:szCs w:val="28"/>
        </w:rPr>
        <w:t>附图3平面布置图</w:t>
      </w:r>
    </w:p>
    <w:p>
      <w:pPr>
        <w:rPr>
          <w:rFonts w:hint="eastAsia" w:ascii="宋体" w:hAnsi="宋体" w:eastAsia="宋体" w:cs="宋体"/>
          <w:color w:val="auto"/>
          <w:sz w:val="28"/>
          <w:szCs w:val="28"/>
        </w:rPr>
      </w:pPr>
      <w:r>
        <w:rPr>
          <w:rFonts w:hint="eastAsia" w:ascii="宋体" w:hAnsi="宋体" w:eastAsia="宋体" w:cs="宋体"/>
          <w:color w:val="auto"/>
          <w:sz w:val="28"/>
          <w:szCs w:val="28"/>
        </w:rPr>
        <w:t>附图4项目区与云南省生物多样性保护优先区域位置关系图</w:t>
      </w:r>
    </w:p>
    <w:p>
      <w:pPr>
        <w:rPr>
          <w:rFonts w:hint="eastAsia" w:ascii="宋体" w:hAnsi="宋体" w:eastAsia="宋体" w:cs="宋体"/>
          <w:color w:val="auto"/>
          <w:sz w:val="28"/>
          <w:szCs w:val="28"/>
        </w:rPr>
      </w:pPr>
      <w:r>
        <w:rPr>
          <w:rFonts w:hint="eastAsia" w:ascii="宋体" w:hAnsi="宋体" w:eastAsia="宋体" w:cs="宋体"/>
          <w:color w:val="auto"/>
          <w:sz w:val="28"/>
          <w:szCs w:val="28"/>
        </w:rPr>
        <w:t>附图5项目与云南省主体功能区关系图</w:t>
      </w:r>
    </w:p>
    <w:p>
      <w:pPr>
        <w:rPr>
          <w:rFonts w:hint="eastAsia" w:ascii="宋体" w:hAnsi="宋体" w:eastAsia="宋体" w:cs="宋体"/>
          <w:color w:val="auto"/>
          <w:sz w:val="28"/>
          <w:szCs w:val="28"/>
        </w:rPr>
      </w:pPr>
      <w:r>
        <w:rPr>
          <w:rFonts w:hint="eastAsia" w:ascii="宋体" w:hAnsi="宋体" w:eastAsia="宋体" w:cs="宋体"/>
          <w:color w:val="auto"/>
          <w:sz w:val="28"/>
          <w:szCs w:val="28"/>
        </w:rPr>
        <w:t>附图6项目区与西双版纳境内自然保护区关系图</w:t>
      </w:r>
    </w:p>
    <w:p>
      <w:pPr>
        <w:rPr>
          <w:rFonts w:hint="eastAsia" w:ascii="宋体" w:hAnsi="宋体" w:eastAsia="宋体" w:cs="宋体"/>
          <w:color w:val="auto"/>
          <w:sz w:val="28"/>
          <w:szCs w:val="28"/>
        </w:rPr>
      </w:pPr>
      <w:r>
        <w:rPr>
          <w:rFonts w:hint="eastAsia" w:ascii="宋体" w:hAnsi="宋体" w:eastAsia="宋体" w:cs="宋体"/>
          <w:color w:val="auto"/>
          <w:sz w:val="28"/>
          <w:szCs w:val="28"/>
        </w:rPr>
        <w:t>附图7项目区与西双版纳州风景名胜区关系图</w:t>
      </w:r>
    </w:p>
    <w:p>
      <w:pPr>
        <w:rPr>
          <w:rFonts w:hint="eastAsia" w:ascii="宋体" w:hAnsi="宋体" w:eastAsia="宋体" w:cs="宋体"/>
          <w:color w:val="auto"/>
          <w:sz w:val="28"/>
          <w:szCs w:val="28"/>
        </w:rPr>
      </w:pPr>
      <w:r>
        <w:rPr>
          <w:rFonts w:hint="eastAsia" w:ascii="宋体" w:hAnsi="宋体" w:eastAsia="宋体" w:cs="宋体"/>
          <w:color w:val="auto"/>
          <w:sz w:val="28"/>
          <w:szCs w:val="28"/>
        </w:rPr>
        <w:t>附图8监测布点图</w:t>
      </w:r>
    </w:p>
    <w:p>
      <w:pPr>
        <w:rPr>
          <w:rFonts w:hint="eastAsia" w:ascii="宋体" w:hAnsi="宋体" w:eastAsia="宋体" w:cs="宋体"/>
          <w:color w:val="auto"/>
          <w:sz w:val="28"/>
          <w:szCs w:val="28"/>
        </w:rPr>
      </w:pPr>
      <w:r>
        <w:rPr>
          <w:rFonts w:hint="eastAsia" w:ascii="宋体" w:hAnsi="宋体" w:eastAsia="宋体" w:cs="宋体"/>
          <w:color w:val="auto"/>
          <w:sz w:val="28"/>
          <w:szCs w:val="28"/>
        </w:rPr>
        <w:t>附图9项目与云南省生态功能区划关系图</w:t>
      </w:r>
    </w:p>
    <w:p>
      <w:pP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附图10项目区水系图</w:t>
      </w:r>
    </w:p>
    <w:p>
      <w:pPr>
        <w:rPr>
          <w:rFonts w:hint="eastAsia" w:ascii="宋体" w:hAnsi="宋体" w:eastAsia="宋体" w:cs="宋体"/>
          <w:b/>
          <w:bCs/>
          <w:color w:val="auto"/>
          <w:sz w:val="28"/>
          <w:szCs w:val="28"/>
          <w:lang w:val="en-US" w:eastAsia="zh-CN"/>
        </w:rPr>
      </w:pP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附件</w:t>
      </w:r>
    </w:p>
    <w:p>
      <w:pPr>
        <w:rPr>
          <w:rFonts w:hint="eastAsia" w:ascii="宋体" w:hAnsi="宋体" w:eastAsia="宋体" w:cs="宋体"/>
          <w:color w:val="auto"/>
          <w:sz w:val="28"/>
          <w:szCs w:val="28"/>
        </w:rPr>
      </w:pPr>
      <w:r>
        <w:rPr>
          <w:rFonts w:hint="eastAsia" w:ascii="宋体" w:hAnsi="宋体" w:eastAsia="宋体" w:cs="宋体"/>
          <w:color w:val="auto"/>
          <w:sz w:val="28"/>
          <w:szCs w:val="28"/>
        </w:rPr>
        <w:t>附件1委托书</w:t>
      </w:r>
    </w:p>
    <w:p>
      <w:pPr>
        <w:rPr>
          <w:rFonts w:hint="eastAsia" w:ascii="宋体" w:hAnsi="宋体" w:eastAsia="宋体" w:cs="宋体"/>
          <w:color w:val="auto"/>
          <w:sz w:val="28"/>
          <w:szCs w:val="28"/>
        </w:rPr>
      </w:pPr>
      <w:r>
        <w:rPr>
          <w:rFonts w:hint="eastAsia" w:ascii="宋体" w:hAnsi="宋体" w:eastAsia="宋体" w:cs="宋体"/>
          <w:color w:val="auto"/>
          <w:sz w:val="28"/>
          <w:szCs w:val="28"/>
        </w:rPr>
        <w:t>附件2</w:t>
      </w:r>
      <w:r>
        <w:rPr>
          <w:rFonts w:hint="eastAsia" w:ascii="宋体" w:hAnsi="宋体" w:cs="宋体"/>
          <w:color w:val="auto"/>
          <w:sz w:val="28"/>
          <w:szCs w:val="28"/>
          <w:lang w:val="en-US" w:eastAsia="zh-CN"/>
        </w:rPr>
        <w:t>勐海县人民政府划拨用地批复</w:t>
      </w:r>
    </w:p>
    <w:p>
      <w:pPr>
        <w:rPr>
          <w:rFonts w:hint="eastAsia" w:ascii="宋体" w:hAnsi="宋体" w:eastAsia="宋体" w:cs="宋体"/>
          <w:color w:val="auto"/>
          <w:sz w:val="28"/>
          <w:szCs w:val="28"/>
        </w:rPr>
      </w:pPr>
      <w:r>
        <w:rPr>
          <w:rFonts w:hint="eastAsia" w:ascii="宋体" w:hAnsi="宋体" w:eastAsia="宋体" w:cs="宋体"/>
          <w:color w:val="auto"/>
          <w:sz w:val="28"/>
          <w:szCs w:val="28"/>
        </w:rPr>
        <w:t>附件3土地使用证</w:t>
      </w:r>
    </w:p>
    <w:p>
      <w:pPr>
        <w:rPr>
          <w:rFonts w:hint="eastAsia" w:ascii="宋体" w:hAnsi="宋体" w:eastAsia="宋体" w:cs="宋体"/>
          <w:color w:val="auto"/>
          <w:sz w:val="28"/>
          <w:szCs w:val="28"/>
        </w:rPr>
      </w:pPr>
      <w:r>
        <w:rPr>
          <w:rFonts w:hint="eastAsia" w:ascii="宋体" w:hAnsi="宋体" w:eastAsia="宋体" w:cs="宋体"/>
          <w:color w:val="auto"/>
          <w:sz w:val="28"/>
          <w:szCs w:val="28"/>
        </w:rPr>
        <w:t>附件4</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2023年废水检测报告</w:t>
      </w:r>
    </w:p>
    <w:p>
      <w:pPr>
        <w:rPr>
          <w:rFonts w:hint="eastAsia" w:ascii="宋体" w:hAnsi="宋体" w:eastAsia="宋体" w:cs="宋体"/>
          <w:color w:val="auto"/>
          <w:sz w:val="28"/>
          <w:szCs w:val="28"/>
        </w:rPr>
      </w:pPr>
      <w:r>
        <w:rPr>
          <w:rFonts w:hint="eastAsia" w:ascii="宋体" w:hAnsi="宋体" w:eastAsia="宋体" w:cs="宋体"/>
          <w:color w:val="auto"/>
          <w:sz w:val="28"/>
          <w:szCs w:val="28"/>
        </w:rPr>
        <w:t>附件5医疗机构</w:t>
      </w:r>
      <w:r>
        <w:rPr>
          <w:rFonts w:hint="eastAsia" w:ascii="宋体" w:hAnsi="宋体" w:cs="宋体"/>
          <w:color w:val="auto"/>
          <w:sz w:val="28"/>
          <w:szCs w:val="28"/>
          <w:lang w:val="en-US" w:eastAsia="zh-CN"/>
        </w:rPr>
        <w:t>执</w:t>
      </w:r>
      <w:r>
        <w:rPr>
          <w:rFonts w:hint="eastAsia" w:ascii="宋体" w:hAnsi="宋体" w:eastAsia="宋体" w:cs="宋体"/>
          <w:color w:val="auto"/>
          <w:sz w:val="28"/>
          <w:szCs w:val="28"/>
        </w:rPr>
        <w:t>业许可证</w:t>
      </w:r>
    </w:p>
    <w:p>
      <w:pPr>
        <w:rPr>
          <w:rFonts w:hint="eastAsia" w:ascii="宋体" w:hAnsi="宋体" w:cs="宋体"/>
          <w:color w:val="auto"/>
          <w:sz w:val="28"/>
          <w:szCs w:val="28"/>
          <w:lang w:val="en-US" w:eastAsia="zh-CN"/>
        </w:rPr>
      </w:pPr>
      <w:r>
        <w:rPr>
          <w:rFonts w:hint="eastAsia" w:ascii="宋体" w:hAnsi="宋体" w:eastAsia="宋体" w:cs="宋体"/>
          <w:color w:val="auto"/>
          <w:sz w:val="28"/>
          <w:szCs w:val="28"/>
        </w:rPr>
        <w:t>附件6</w:t>
      </w:r>
      <w:r>
        <w:rPr>
          <w:rFonts w:hint="eastAsia" w:ascii="宋体" w:hAnsi="宋体" w:cs="宋体"/>
          <w:color w:val="auto"/>
          <w:sz w:val="28"/>
          <w:szCs w:val="28"/>
          <w:lang w:val="en-US" w:eastAsia="zh-CN"/>
        </w:rPr>
        <w:t>事业单位法人证书</w:t>
      </w:r>
    </w:p>
    <w:p>
      <w:pPr>
        <w:rPr>
          <w:rFonts w:hint="eastAsia" w:ascii="宋体" w:hAnsi="宋体" w:eastAsia="宋体" w:cs="宋体"/>
          <w:color w:val="auto"/>
          <w:sz w:val="28"/>
          <w:szCs w:val="28"/>
        </w:rPr>
      </w:pPr>
      <w:r>
        <w:rPr>
          <w:rFonts w:hint="eastAsia" w:ascii="宋体" w:hAnsi="宋体" w:eastAsia="宋体" w:cs="宋体"/>
          <w:color w:val="auto"/>
          <w:sz w:val="28"/>
          <w:szCs w:val="28"/>
        </w:rPr>
        <w:t>附件7医废处置协议</w:t>
      </w:r>
    </w:p>
    <w:p>
      <w:pPr>
        <w:rPr>
          <w:rFonts w:hint="eastAsia" w:ascii="宋体" w:hAnsi="宋体" w:eastAsia="宋体" w:cs="宋体"/>
          <w:color w:val="auto"/>
          <w:sz w:val="28"/>
          <w:szCs w:val="28"/>
        </w:rPr>
      </w:pPr>
      <w:r>
        <w:rPr>
          <w:rFonts w:hint="eastAsia" w:ascii="宋体" w:hAnsi="宋体" w:eastAsia="宋体" w:cs="宋体"/>
          <w:color w:val="auto"/>
          <w:sz w:val="28"/>
          <w:szCs w:val="28"/>
        </w:rPr>
        <w:t>附件8医疗废物管理台账</w:t>
      </w:r>
    </w:p>
    <w:p>
      <w:pPr>
        <w:rPr>
          <w:rFonts w:hint="eastAsia" w:ascii="宋体" w:hAnsi="宋体" w:eastAsia="宋体" w:cs="宋体"/>
          <w:color w:val="auto"/>
          <w:sz w:val="28"/>
          <w:szCs w:val="28"/>
        </w:rPr>
      </w:pPr>
      <w:r>
        <w:rPr>
          <w:rFonts w:hint="eastAsia" w:ascii="宋体" w:hAnsi="宋体" w:eastAsia="宋体" w:cs="宋体"/>
          <w:color w:val="auto"/>
          <w:sz w:val="28"/>
          <w:szCs w:val="28"/>
        </w:rPr>
        <w:t>附件9医疗废物转移联单</w:t>
      </w:r>
    </w:p>
    <w:p>
      <w:pP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附件10</w:t>
      </w:r>
      <w:r>
        <w:rPr>
          <w:rFonts w:hint="eastAsia" w:ascii="宋体" w:hAnsi="宋体" w:eastAsia="宋体" w:cs="宋体"/>
          <w:color w:val="auto"/>
          <w:sz w:val="28"/>
          <w:szCs w:val="28"/>
        </w:rPr>
        <w:t>声环境质量现状监测报告</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附件11三区三线查询文件</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附件12三线一单查询文件</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附件13类比的澜沧拉祜族自治县第一人民医院2023年自行检测报告</w:t>
      </w:r>
    </w:p>
    <w:p>
      <w:pPr>
        <w:rPr>
          <w:rFonts w:hint="default" w:ascii="宋体" w:hAnsi="宋体" w:eastAsia="宋体" w:cs="宋体"/>
          <w:b/>
          <w:bCs/>
          <w:color w:val="auto"/>
          <w:sz w:val="28"/>
          <w:szCs w:val="28"/>
          <w:lang w:val="en-US" w:eastAsia="zh-CN"/>
        </w:rPr>
      </w:pPr>
    </w:p>
    <w:p>
      <w:pPr>
        <w:rPr>
          <w:rFonts w:hint="eastAsia" w:ascii="宋体" w:hAnsi="宋体" w:eastAsia="宋体" w:cs="宋体"/>
          <w:color w:val="auto"/>
          <w:sz w:val="24"/>
          <w:szCs w:val="24"/>
        </w:rPr>
      </w:pPr>
    </w:p>
    <w:p>
      <w:pPr>
        <w:pStyle w:val="21"/>
        <w:jc w:val="both"/>
        <w:outlineLvl w:val="0"/>
        <w:rPr>
          <w:rFonts w:hint="eastAsia" w:ascii="宋体" w:hAnsi="宋体" w:eastAsia="宋体" w:cs="宋体"/>
          <w:snapToGrid w:val="0"/>
          <w:color w:val="auto"/>
          <w:sz w:val="32"/>
          <w:szCs w:val="32"/>
        </w:rPr>
        <w:sectPr>
          <w:footerReference r:id="rId5" w:type="default"/>
          <w:pgSz w:w="11906" w:h="16838"/>
          <w:pgMar w:top="1701" w:right="1531" w:bottom="1701" w:left="1531" w:header="851" w:footer="1077" w:gutter="0"/>
          <w:pgNumType w:fmt="decimal" w:start="1"/>
          <w:cols w:space="720" w:num="1"/>
          <w:docGrid w:linePitch="312" w:charSpace="0"/>
        </w:sectPr>
      </w:pPr>
      <w:bookmarkStart w:id="5" w:name="_Toc11089"/>
      <w:bookmarkStart w:id="6" w:name="_Toc31647"/>
      <w:bookmarkStart w:id="7" w:name="_Toc16764"/>
    </w:p>
    <w:p>
      <w:pPr>
        <w:pStyle w:val="21"/>
        <w:jc w:val="center"/>
        <w:outlineLvl w:val="0"/>
        <w:rPr>
          <w:rFonts w:hint="eastAsia" w:ascii="宋体" w:hAnsi="宋体" w:eastAsia="宋体" w:cs="宋体"/>
          <w:snapToGrid w:val="0"/>
          <w:color w:val="auto"/>
          <w:sz w:val="32"/>
          <w:szCs w:val="32"/>
        </w:rPr>
      </w:pPr>
      <w:r>
        <w:rPr>
          <w:rFonts w:hint="eastAsia" w:ascii="宋体" w:hAnsi="宋体" w:eastAsia="宋体" w:cs="宋体"/>
          <w:snapToGrid w:val="0"/>
          <w:color w:val="auto"/>
          <w:sz w:val="32"/>
          <w:szCs w:val="32"/>
        </w:rPr>
        <w:t>一、建设项目基本情况</w:t>
      </w:r>
      <w:bookmarkEnd w:id="5"/>
      <w:bookmarkEnd w:id="6"/>
      <w:bookmarkEnd w:id="7"/>
    </w:p>
    <w:tbl>
      <w:tblPr>
        <w:tblStyle w:val="26"/>
        <w:tblW w:w="92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055"/>
        <w:gridCol w:w="2688"/>
        <w:gridCol w:w="1566"/>
        <w:gridCol w:w="29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055" w:type="dxa"/>
            <w:tcMar>
              <w:top w:w="16" w:type="dxa"/>
              <w:left w:w="16" w:type="dxa"/>
              <w:right w:w="16" w:type="dxa"/>
            </w:tcMar>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建设项目名称</w:t>
            </w:r>
          </w:p>
        </w:tc>
        <w:tc>
          <w:tcPr>
            <w:tcW w:w="7186" w:type="dxa"/>
            <w:gridSpan w:val="3"/>
            <w:vAlign w:val="center"/>
          </w:tcPr>
          <w:p>
            <w:pPr>
              <w:adjustRightInd w:val="0"/>
              <w:snapToGrid w:val="0"/>
              <w:spacing w:line="240" w:lineRule="auto"/>
              <w:ind w:firstLine="560"/>
              <w:jc w:val="center"/>
              <w:rPr>
                <w:rFonts w:hint="eastAsia" w:ascii="宋体" w:hAnsi="宋体" w:eastAsia="宋体" w:cs="宋体"/>
                <w:color w:val="auto"/>
                <w:sz w:val="24"/>
                <w:szCs w:val="24"/>
              </w:rPr>
            </w:pPr>
            <w:r>
              <w:rPr>
                <w:rFonts w:hint="eastAsia" w:ascii="宋体" w:hAnsi="宋体" w:eastAsia="宋体" w:cs="宋体"/>
                <w:color w:val="auto"/>
                <w:sz w:val="24"/>
                <w:szCs w:val="24"/>
              </w:rPr>
              <w:t>勐海县勐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镇卫生院建设项目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055" w:type="dxa"/>
            <w:tcMar>
              <w:top w:w="16" w:type="dxa"/>
              <w:left w:w="16" w:type="dxa"/>
              <w:right w:w="16" w:type="dxa"/>
            </w:tcMar>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项目代码</w:t>
            </w:r>
          </w:p>
        </w:tc>
        <w:tc>
          <w:tcPr>
            <w:tcW w:w="7186" w:type="dxa"/>
            <w:gridSpan w:val="3"/>
            <w:vAlign w:val="center"/>
          </w:tcPr>
          <w:p>
            <w:pPr>
              <w:adjustRightInd w:val="0"/>
              <w:snapToGrid w:val="0"/>
              <w:spacing w:line="240" w:lineRule="auto"/>
              <w:ind w:firstLine="56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33" w:hRule="atLeast"/>
          <w:jc w:val="center"/>
        </w:trPr>
        <w:tc>
          <w:tcPr>
            <w:tcW w:w="2055" w:type="dxa"/>
            <w:tcMar>
              <w:top w:w="16" w:type="dxa"/>
              <w:left w:w="16" w:type="dxa"/>
              <w:right w:w="16" w:type="dxa"/>
            </w:tcMar>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建设单位联系人</w:t>
            </w:r>
          </w:p>
        </w:tc>
        <w:tc>
          <w:tcPr>
            <w:tcW w:w="2688" w:type="dxa"/>
            <w:vAlign w:val="center"/>
          </w:tcPr>
          <w:p>
            <w:pPr>
              <w:adjustRightInd w:val="0"/>
              <w:snapToGrid w:val="0"/>
              <w:spacing w:line="240" w:lineRule="auto"/>
              <w:ind w:firstLine="720" w:firstLineChars="300"/>
              <w:jc w:val="center"/>
              <w:rPr>
                <w:rFonts w:hint="eastAsia" w:ascii="宋体" w:hAnsi="宋体" w:eastAsia="宋体" w:cs="宋体"/>
                <w:color w:val="auto"/>
                <w:sz w:val="24"/>
                <w:szCs w:val="24"/>
              </w:rPr>
            </w:pPr>
            <w:r>
              <w:rPr>
                <w:rFonts w:hint="eastAsia" w:ascii="宋体" w:hAnsi="宋体" w:cs="宋体"/>
                <w:strike w:val="0"/>
                <w:dstrike w:val="0"/>
                <w:color w:val="auto"/>
                <w:sz w:val="24"/>
                <w:szCs w:val="24"/>
                <w:lang w:val="en-US" w:eastAsia="zh-CN"/>
              </w:rPr>
              <w:t xml:space="preserve"> </w:t>
            </w:r>
          </w:p>
        </w:tc>
        <w:tc>
          <w:tcPr>
            <w:tcW w:w="1566" w:type="dxa"/>
            <w:vAlign w:val="center"/>
          </w:tcPr>
          <w:p>
            <w:pPr>
              <w:adjustRightInd w:val="0"/>
              <w:snapToGrid w:val="0"/>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t>联系方式</w:t>
            </w:r>
          </w:p>
        </w:tc>
        <w:tc>
          <w:tcPr>
            <w:tcW w:w="2932" w:type="dxa"/>
            <w:vAlign w:val="center"/>
          </w:tcPr>
          <w:p>
            <w:pPr>
              <w:adjustRightInd w:val="0"/>
              <w:snapToGrid w:val="0"/>
              <w:spacing w:line="240" w:lineRule="auto"/>
              <w:ind w:firstLine="560"/>
              <w:jc w:val="center"/>
              <w:rPr>
                <w:rFonts w:hint="eastAsia" w:ascii="宋体" w:hAnsi="宋体" w:eastAsia="宋体" w:cs="宋体"/>
                <w:color w:val="auto"/>
                <w:sz w:val="24"/>
                <w:szCs w:val="24"/>
              </w:rPr>
            </w:pPr>
            <w:r>
              <w:rPr>
                <w:rFonts w:hint="eastAsia" w:ascii="宋体" w:hAnsi="宋体" w:cs="宋体"/>
                <w:strike w:val="0"/>
                <w:dstrike w:val="0"/>
                <w:color w:val="auto"/>
                <w:sz w:val="24"/>
                <w:szCs w:val="24"/>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055" w:type="dxa"/>
            <w:tcMar>
              <w:top w:w="16" w:type="dxa"/>
              <w:left w:w="16" w:type="dxa"/>
              <w:right w:w="16" w:type="dxa"/>
            </w:tcMar>
            <w:vAlign w:val="center"/>
          </w:tcPr>
          <w:p>
            <w:pPr>
              <w:adjustRightInd w:val="0"/>
              <w:snapToGrid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建设地点</w:t>
            </w:r>
          </w:p>
        </w:tc>
        <w:tc>
          <w:tcPr>
            <w:tcW w:w="7186" w:type="dxa"/>
            <w:gridSpan w:val="3"/>
            <w:vAlign w:val="center"/>
          </w:tcPr>
          <w:p>
            <w:pPr>
              <w:keepNext w:val="0"/>
              <w:keepLines w:val="0"/>
              <w:widowControl/>
              <w:suppressLineNumbers w:val="0"/>
              <w:jc w:val="center"/>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云南</w:t>
            </w:r>
            <w:r>
              <w:rPr>
                <w:rFonts w:hint="eastAsia" w:ascii="宋体" w:hAnsi="宋体" w:eastAsia="宋体" w:cs="宋体"/>
                <w:color w:val="auto"/>
                <w:sz w:val="24"/>
                <w:szCs w:val="24"/>
              </w:rPr>
              <w:t>省</w:t>
            </w:r>
            <w:r>
              <w:rPr>
                <w:rFonts w:hint="eastAsia" w:ascii="宋体" w:hAnsi="宋体" w:eastAsia="宋体" w:cs="宋体"/>
                <w:color w:val="auto"/>
                <w:kern w:val="0"/>
                <w:sz w:val="24"/>
                <w:szCs w:val="24"/>
                <w:u w:val="single"/>
                <w:lang w:val="en-US" w:eastAsia="zh-CN" w:bidi="ar"/>
              </w:rPr>
              <w:t>西双版纳傣族自治</w:t>
            </w:r>
            <w:r>
              <w:rPr>
                <w:rFonts w:hint="eastAsia" w:ascii="宋体" w:hAnsi="宋体" w:eastAsia="宋体" w:cs="宋体"/>
                <w:color w:val="auto"/>
                <w:kern w:val="0"/>
                <w:sz w:val="24"/>
                <w:szCs w:val="24"/>
                <w:u w:val="none"/>
                <w:lang w:val="en-US" w:eastAsia="zh-CN" w:bidi="ar"/>
              </w:rPr>
              <w:t>州</w:t>
            </w:r>
            <w:r>
              <w:rPr>
                <w:rFonts w:hint="eastAsia" w:ascii="宋体" w:hAnsi="宋体" w:eastAsia="宋体" w:cs="宋体"/>
                <w:color w:val="auto"/>
                <w:kern w:val="0"/>
                <w:sz w:val="24"/>
                <w:szCs w:val="24"/>
                <w:u w:val="single"/>
                <w:lang w:val="en-US" w:eastAsia="zh-CN" w:bidi="ar"/>
              </w:rPr>
              <w:t>勐海</w:t>
            </w:r>
            <w:r>
              <w:rPr>
                <w:rFonts w:hint="eastAsia" w:ascii="宋体" w:hAnsi="宋体" w:eastAsia="宋体" w:cs="宋体"/>
                <w:color w:val="auto"/>
                <w:kern w:val="0"/>
                <w:sz w:val="24"/>
                <w:szCs w:val="24"/>
                <w:u w:val="none"/>
                <w:lang w:val="en-US" w:eastAsia="zh-CN" w:bidi="ar"/>
              </w:rPr>
              <w:t>县</w:t>
            </w:r>
            <w:r>
              <w:rPr>
                <w:rFonts w:hint="eastAsia" w:ascii="宋体" w:hAnsi="宋体" w:eastAsia="宋体" w:cs="宋体"/>
                <w:color w:val="auto"/>
                <w:kern w:val="0"/>
                <w:sz w:val="24"/>
                <w:szCs w:val="24"/>
                <w:u w:val="single"/>
                <w:lang w:val="en-US" w:eastAsia="zh-CN" w:bidi="ar"/>
              </w:rPr>
              <w:t>勐海</w:t>
            </w:r>
            <w:r>
              <w:rPr>
                <w:rFonts w:hint="eastAsia" w:ascii="宋体" w:hAnsi="宋体" w:eastAsia="宋体" w:cs="宋体"/>
                <w:color w:val="auto"/>
                <w:kern w:val="0"/>
                <w:sz w:val="24"/>
                <w:szCs w:val="24"/>
                <w:u w:val="none"/>
                <w:lang w:val="en-US" w:eastAsia="zh-CN" w:bidi="ar"/>
              </w:rPr>
              <w:t>镇</w:t>
            </w:r>
            <w:r>
              <w:rPr>
                <w:rFonts w:hint="eastAsia" w:ascii="宋体" w:hAnsi="宋体" w:eastAsia="宋体" w:cs="宋体"/>
                <w:color w:val="auto"/>
                <w:kern w:val="0"/>
                <w:sz w:val="24"/>
                <w:szCs w:val="24"/>
                <w:u w:val="single"/>
                <w:lang w:val="en-US" w:eastAsia="zh-CN" w:bidi="ar"/>
              </w:rPr>
              <w:t>佛双路 35 号</w:t>
            </w:r>
          </w:p>
          <w:p>
            <w:pPr>
              <w:adjustRightInd w:val="0"/>
              <w:snapToGrid w:val="0"/>
              <w:spacing w:line="240" w:lineRule="auto"/>
              <w:ind w:firstLine="0" w:firstLineChars="0"/>
              <w:jc w:val="center"/>
              <w:rPr>
                <w:rFonts w:hint="eastAsia" w:ascii="宋体" w:hAnsi="宋体" w:eastAsia="宋体" w:cs="宋体"/>
                <w:color w:val="auto"/>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055" w:type="dxa"/>
            <w:tcMar>
              <w:top w:w="16" w:type="dxa"/>
              <w:left w:w="16" w:type="dxa"/>
              <w:right w:w="16" w:type="dxa"/>
            </w:tcMar>
            <w:vAlign w:val="center"/>
          </w:tcPr>
          <w:p>
            <w:pPr>
              <w:adjustRightInd w:val="0"/>
              <w:snapToGrid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地理坐标</w:t>
            </w:r>
          </w:p>
        </w:tc>
        <w:tc>
          <w:tcPr>
            <w:tcW w:w="7186" w:type="dxa"/>
            <w:gridSpan w:val="3"/>
            <w:vAlign w:val="center"/>
          </w:tcPr>
          <w:p>
            <w:pPr>
              <w:spacing w:line="240" w:lineRule="auto"/>
              <w:ind w:firstLine="560"/>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 xml:space="preserve"> </w:t>
            </w:r>
            <w:bookmarkStart w:id="67" w:name="_GoBack"/>
            <w:bookmarkEnd w:id="6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055" w:type="dxa"/>
            <w:tcMar>
              <w:top w:w="16" w:type="dxa"/>
              <w:left w:w="16" w:type="dxa"/>
              <w:right w:w="16" w:type="dxa"/>
            </w:tcMar>
            <w:vAlign w:val="center"/>
          </w:tcPr>
          <w:p>
            <w:pPr>
              <w:adjustRightInd w:val="0"/>
              <w:snapToGrid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国民经济</w:t>
            </w:r>
          </w:p>
          <w:p>
            <w:pPr>
              <w:adjustRightInd w:val="0"/>
              <w:snapToGrid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行业类别</w:t>
            </w:r>
          </w:p>
        </w:tc>
        <w:tc>
          <w:tcPr>
            <w:tcW w:w="2688" w:type="dxa"/>
            <w:vAlign w:val="center"/>
          </w:tcPr>
          <w:p>
            <w:pPr>
              <w:adjustRightInd w:val="0"/>
              <w:snapToGrid w:val="0"/>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Q8423乡镇卫生院</w:t>
            </w:r>
          </w:p>
        </w:tc>
        <w:tc>
          <w:tcPr>
            <w:tcW w:w="1566" w:type="dxa"/>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bookmarkStart w:id="8" w:name="_Hlk49843745"/>
            <w:r>
              <w:rPr>
                <w:rFonts w:hint="eastAsia" w:ascii="宋体" w:hAnsi="宋体" w:eastAsia="宋体" w:cs="宋体"/>
                <w:b/>
                <w:bCs/>
                <w:color w:val="auto"/>
                <w:sz w:val="24"/>
                <w:szCs w:val="24"/>
              </w:rPr>
              <w:t>建设项目</w:t>
            </w:r>
          </w:p>
          <w:p>
            <w:pPr>
              <w:adjustRightInd w:val="0"/>
              <w:snapToGrid w:val="0"/>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t>行业类别</w:t>
            </w:r>
            <w:bookmarkEnd w:id="8"/>
          </w:p>
        </w:tc>
        <w:tc>
          <w:tcPr>
            <w:tcW w:w="2932" w:type="dxa"/>
            <w:vAlign w:val="center"/>
          </w:tcPr>
          <w:p>
            <w:pPr>
              <w:widowControl/>
              <w:spacing w:line="240" w:lineRule="auto"/>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四十九、卫生84，基层医疗卫生服务842，其他（20张床位以下的除外</w:t>
            </w:r>
            <w:r>
              <w:rPr>
                <w:rFonts w:hint="eastAsia" w:ascii="宋体" w:hAnsi="宋体" w:eastAsia="宋体" w:cs="宋体"/>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055" w:type="dxa"/>
            <w:tcMar>
              <w:top w:w="16" w:type="dxa"/>
              <w:left w:w="16" w:type="dxa"/>
              <w:right w:w="16" w:type="dxa"/>
            </w:tcMar>
            <w:vAlign w:val="center"/>
          </w:tcPr>
          <w:p>
            <w:pPr>
              <w:adjustRightInd w:val="0"/>
              <w:snapToGrid w:val="0"/>
              <w:spacing w:line="240" w:lineRule="auto"/>
              <w:ind w:firstLine="562"/>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建设性质</w:t>
            </w:r>
          </w:p>
        </w:tc>
        <w:tc>
          <w:tcPr>
            <w:tcW w:w="2688" w:type="dxa"/>
            <w:vAlign w:val="center"/>
          </w:tcPr>
          <w:p>
            <w:pPr>
              <w:spacing w:line="240" w:lineRule="auto"/>
              <w:ind w:firstLine="560"/>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52"/>
            </w:r>
            <w:r>
              <w:rPr>
                <w:rFonts w:hint="eastAsia" w:ascii="宋体" w:hAnsi="宋体" w:eastAsia="宋体" w:cs="宋体"/>
                <w:color w:val="auto"/>
                <w:sz w:val="24"/>
                <w:szCs w:val="24"/>
              </w:rPr>
              <w:t>新建</w:t>
            </w:r>
          </w:p>
          <w:p>
            <w:pPr>
              <w:spacing w:line="240" w:lineRule="auto"/>
              <w:ind w:firstLine="560"/>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改建</w:t>
            </w:r>
          </w:p>
          <w:p>
            <w:pPr>
              <w:spacing w:line="240" w:lineRule="auto"/>
              <w:ind w:firstLine="560"/>
              <w:jc w:val="center"/>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扩建</w:t>
            </w:r>
          </w:p>
          <w:p>
            <w:pPr>
              <w:spacing w:line="240" w:lineRule="auto"/>
              <w:ind w:firstLine="56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□技术改造</w:t>
            </w:r>
          </w:p>
        </w:tc>
        <w:tc>
          <w:tcPr>
            <w:tcW w:w="1566" w:type="dxa"/>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建设项目</w:t>
            </w:r>
          </w:p>
          <w:p>
            <w:pPr>
              <w:adjustRightInd w:val="0"/>
              <w:snapToGrid w:val="0"/>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t>申报情形</w:t>
            </w:r>
          </w:p>
        </w:tc>
        <w:tc>
          <w:tcPr>
            <w:tcW w:w="2932" w:type="dxa"/>
            <w:vAlign w:val="center"/>
          </w:tcPr>
          <w:p>
            <w:pPr>
              <w:spacing w:line="24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52"/>
            </w:r>
            <w:r>
              <w:rPr>
                <w:rFonts w:hint="eastAsia" w:ascii="宋体" w:hAnsi="宋体" w:eastAsia="宋体" w:cs="宋体"/>
                <w:color w:val="auto"/>
                <w:sz w:val="24"/>
                <w:szCs w:val="24"/>
              </w:rPr>
              <w:t>首次申报项目</w:t>
            </w:r>
          </w:p>
          <w:p>
            <w:pPr>
              <w:spacing w:line="24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□不予批准后再次申报项目</w:t>
            </w:r>
          </w:p>
          <w:p>
            <w:pPr>
              <w:spacing w:line="24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□超五年重新审核项目</w:t>
            </w:r>
          </w:p>
          <w:p>
            <w:pPr>
              <w:spacing w:line="24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055" w:type="dxa"/>
            <w:tcMar>
              <w:top w:w="16" w:type="dxa"/>
              <w:left w:w="16" w:type="dxa"/>
              <w:right w:w="16" w:type="dxa"/>
            </w:tcMar>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项目审批部门（选填）</w:t>
            </w:r>
          </w:p>
        </w:tc>
        <w:tc>
          <w:tcPr>
            <w:tcW w:w="2688" w:type="dxa"/>
            <w:vAlign w:val="center"/>
          </w:tcPr>
          <w:p>
            <w:pPr>
              <w:adjustRightInd w:val="0"/>
              <w:snapToGrid w:val="0"/>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西双版纳州</w:t>
            </w:r>
          </w:p>
          <w:p>
            <w:pPr>
              <w:adjustRightInd w:val="0"/>
              <w:snapToGrid w:val="0"/>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发展和改革局</w:t>
            </w:r>
          </w:p>
        </w:tc>
        <w:tc>
          <w:tcPr>
            <w:tcW w:w="1566" w:type="dxa"/>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项目审批文号（选填）</w:t>
            </w:r>
          </w:p>
        </w:tc>
        <w:tc>
          <w:tcPr>
            <w:tcW w:w="2932" w:type="dxa"/>
            <w:vAlign w:val="center"/>
          </w:tcPr>
          <w:p>
            <w:pPr>
              <w:adjustRightInd w:val="0"/>
              <w:snapToGrid w:val="0"/>
              <w:spacing w:line="240" w:lineRule="auto"/>
              <w:ind w:firstLine="0" w:firstLineChars="0"/>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055" w:type="dxa"/>
            <w:tcMar>
              <w:top w:w="16" w:type="dxa"/>
              <w:left w:w="16" w:type="dxa"/>
              <w:right w:w="16" w:type="dxa"/>
            </w:tcMar>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总投资</w:t>
            </w:r>
          </w:p>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（万元）</w:t>
            </w:r>
          </w:p>
        </w:tc>
        <w:tc>
          <w:tcPr>
            <w:tcW w:w="2688" w:type="dxa"/>
            <w:vAlign w:val="center"/>
          </w:tcPr>
          <w:p>
            <w:pPr>
              <w:adjustRightInd w:val="0"/>
              <w:snapToGrid w:val="0"/>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200</w:t>
            </w:r>
          </w:p>
        </w:tc>
        <w:tc>
          <w:tcPr>
            <w:tcW w:w="1566" w:type="dxa"/>
            <w:tcMar>
              <w:top w:w="16" w:type="dxa"/>
              <w:left w:w="16" w:type="dxa"/>
              <w:right w:w="16" w:type="dxa"/>
            </w:tcMar>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环保投资</w:t>
            </w:r>
          </w:p>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（万元）</w:t>
            </w:r>
          </w:p>
        </w:tc>
        <w:tc>
          <w:tcPr>
            <w:tcW w:w="2932" w:type="dxa"/>
            <w:vAlign w:val="center"/>
          </w:tcPr>
          <w:p>
            <w:pPr>
              <w:adjustRightInd w:val="0"/>
              <w:snapToGrid w:val="0"/>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35.51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055" w:type="dxa"/>
            <w:tcMar>
              <w:top w:w="16" w:type="dxa"/>
              <w:left w:w="16" w:type="dxa"/>
              <w:right w:w="16" w:type="dxa"/>
            </w:tcMar>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环保投资占比（%）</w:t>
            </w:r>
          </w:p>
        </w:tc>
        <w:tc>
          <w:tcPr>
            <w:tcW w:w="2688" w:type="dxa"/>
            <w:vAlign w:val="center"/>
          </w:tcPr>
          <w:p>
            <w:pPr>
              <w:adjustRightInd w:val="0"/>
              <w:snapToGrid w:val="0"/>
              <w:spacing w:line="240" w:lineRule="auto"/>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17.76</w:t>
            </w:r>
          </w:p>
        </w:tc>
        <w:tc>
          <w:tcPr>
            <w:tcW w:w="1566" w:type="dxa"/>
            <w:tcMar>
              <w:top w:w="16" w:type="dxa"/>
              <w:left w:w="16" w:type="dxa"/>
              <w:right w:w="16" w:type="dxa"/>
            </w:tcMar>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施工工期</w:t>
            </w:r>
          </w:p>
        </w:tc>
        <w:tc>
          <w:tcPr>
            <w:tcW w:w="2932" w:type="dxa"/>
            <w:vAlign w:val="center"/>
          </w:tcPr>
          <w:p>
            <w:pPr>
              <w:adjustRightInd w:val="0"/>
              <w:snapToGrid w:val="0"/>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52" w:hRule="atLeast"/>
          <w:jc w:val="center"/>
        </w:trPr>
        <w:tc>
          <w:tcPr>
            <w:tcW w:w="2055" w:type="dxa"/>
            <w:tcMar>
              <w:top w:w="16" w:type="dxa"/>
              <w:left w:w="16" w:type="dxa"/>
              <w:right w:w="16" w:type="dxa"/>
            </w:tcMar>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是否开工建设</w:t>
            </w:r>
          </w:p>
        </w:tc>
        <w:tc>
          <w:tcPr>
            <w:tcW w:w="2688" w:type="dxa"/>
            <w:vAlign w:val="center"/>
          </w:tcPr>
          <w:p>
            <w:pPr>
              <w:adjustRightInd w:val="0"/>
              <w:snapToGrid w:val="0"/>
              <w:spacing w:line="24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否</w:t>
            </w:r>
          </w:p>
          <w:p>
            <w:pPr>
              <w:adjustRightInd w:val="0"/>
              <w:snapToGrid w:val="0"/>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sym w:font="Wingdings 2" w:char="0052"/>
            </w:r>
            <w:r>
              <w:rPr>
                <w:rFonts w:hint="eastAsia" w:ascii="宋体" w:hAnsi="宋体" w:eastAsia="宋体" w:cs="宋体"/>
                <w:color w:val="auto"/>
                <w:sz w:val="24"/>
                <w:szCs w:val="24"/>
              </w:rPr>
              <w:t>是：</w:t>
            </w:r>
            <w:r>
              <w:rPr>
                <w:rFonts w:hint="eastAsia" w:ascii="宋体" w:hAnsi="宋体" w:eastAsia="宋体" w:cs="宋体"/>
                <w:color w:val="auto"/>
                <w:sz w:val="24"/>
                <w:szCs w:val="24"/>
                <w:u w:val="single"/>
                <w:lang w:val="en-US" w:eastAsia="zh-CN"/>
              </w:rPr>
              <w:t>勐海镇卫生院始建于1956年，原址位于勐海县纬五路。2022年8月搬迁到现有厂址。</w:t>
            </w:r>
            <w:r>
              <w:rPr>
                <w:rFonts w:hint="eastAsia" w:ascii="宋体" w:hAnsi="宋体" w:eastAsia="宋体" w:cs="宋体"/>
                <w:color w:val="auto"/>
                <w:sz w:val="24"/>
                <w:szCs w:val="24"/>
                <w:u w:val="single"/>
              </w:rPr>
              <w:t>未进行过环境影响评价</w:t>
            </w:r>
            <w:r>
              <w:rPr>
                <w:rFonts w:hint="eastAsia" w:ascii="宋体" w:hAnsi="宋体" w:cs="宋体"/>
                <w:color w:val="auto"/>
                <w:sz w:val="24"/>
                <w:szCs w:val="24"/>
                <w:u w:val="single"/>
                <w:lang w:eastAsia="zh-CN"/>
              </w:rPr>
              <w:t>。</w:t>
            </w:r>
          </w:p>
        </w:tc>
        <w:tc>
          <w:tcPr>
            <w:tcW w:w="1566" w:type="dxa"/>
            <w:tcMar>
              <w:top w:w="16" w:type="dxa"/>
              <w:left w:w="16" w:type="dxa"/>
              <w:right w:w="16" w:type="dxa"/>
            </w:tcMar>
            <w:vAlign w:val="center"/>
          </w:tcPr>
          <w:p>
            <w:pPr>
              <w:adjustRightInd w:val="0"/>
              <w:snapToGrid w:val="0"/>
              <w:spacing w:line="24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pacing w:val="-6"/>
                <w:sz w:val="24"/>
                <w:szCs w:val="24"/>
              </w:rPr>
              <w:t>用地面积（</w:t>
            </w:r>
            <w:r>
              <w:rPr>
                <w:rFonts w:hint="eastAsia" w:ascii="宋体" w:hAnsi="宋体" w:eastAsia="宋体" w:cs="宋体"/>
                <w:b/>
                <w:bCs/>
                <w:color w:val="auto"/>
                <w:spacing w:val="-6"/>
                <w:sz w:val="24"/>
                <w:szCs w:val="24"/>
                <w:lang w:eastAsia="zh-CN"/>
              </w:rPr>
              <w:t>㎡</w:t>
            </w:r>
            <w:r>
              <w:rPr>
                <w:rFonts w:hint="eastAsia" w:ascii="宋体" w:hAnsi="宋体" w:eastAsia="宋体" w:cs="宋体"/>
                <w:b/>
                <w:bCs/>
                <w:color w:val="auto"/>
                <w:spacing w:val="-6"/>
                <w:sz w:val="24"/>
                <w:szCs w:val="24"/>
              </w:rPr>
              <w:t>）</w:t>
            </w:r>
          </w:p>
        </w:tc>
        <w:tc>
          <w:tcPr>
            <w:tcW w:w="2932" w:type="dxa"/>
            <w:vAlign w:val="center"/>
          </w:tcPr>
          <w:p>
            <w:pPr>
              <w:adjustRightInd w:val="0"/>
              <w:snapToGrid w:val="0"/>
              <w:spacing w:line="240" w:lineRule="auto"/>
              <w:ind w:firstLine="0" w:firstLineChars="0"/>
              <w:jc w:val="center"/>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6519.50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55" w:type="dxa"/>
            <w:vAlign w:val="center"/>
          </w:tcPr>
          <w:p>
            <w:pPr>
              <w:autoSpaceDE w:val="0"/>
              <w:autoSpaceDN w:val="0"/>
              <w:adjustRightInd w:val="0"/>
              <w:snapToGrid w:val="0"/>
              <w:spacing w:line="360" w:lineRule="auto"/>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专项评价</w:t>
            </w:r>
          </w:p>
          <w:p>
            <w:pPr>
              <w:autoSpaceDE w:val="0"/>
              <w:autoSpaceDN w:val="0"/>
              <w:adjustRightInd w:val="0"/>
              <w:snapToGrid w:val="0"/>
              <w:spacing w:line="360" w:lineRule="auto"/>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设置情况</w:t>
            </w:r>
          </w:p>
        </w:tc>
        <w:tc>
          <w:tcPr>
            <w:tcW w:w="7186" w:type="dxa"/>
            <w:gridSpan w:val="3"/>
            <w:vAlign w:val="center"/>
          </w:tcPr>
          <w:p>
            <w:pPr>
              <w:adjustRightInd w:val="0"/>
              <w:snapToGrid w:val="0"/>
              <w:jc w:val="center"/>
              <w:rPr>
                <w:rFonts w:hint="eastAsia" w:ascii="黑体" w:hAnsi="黑体" w:eastAsia="黑体" w:cs="黑体"/>
                <w:b w:val="0"/>
                <w:bCs w:val="0"/>
                <w:color w:val="auto"/>
                <w:sz w:val="21"/>
                <w:szCs w:val="21"/>
                <w:highlight w:val="none"/>
                <w:lang w:val="en-US" w:eastAsia="zh-CN"/>
              </w:rPr>
            </w:pPr>
            <w:bookmarkStart w:id="9" w:name="_Hlk96675147"/>
            <w:r>
              <w:rPr>
                <w:rFonts w:hint="eastAsia" w:ascii="黑体" w:hAnsi="黑体" w:eastAsia="黑体" w:cs="黑体"/>
                <w:b w:val="0"/>
                <w:bCs w:val="0"/>
                <w:color w:val="auto"/>
                <w:sz w:val="21"/>
                <w:szCs w:val="21"/>
                <w:highlight w:val="none"/>
                <w:lang w:val="en-US" w:eastAsia="zh-CN"/>
              </w:rPr>
              <w:t>表1-1   专项评价设置原则表</w:t>
            </w:r>
          </w:p>
          <w:tbl>
            <w:tblPr>
              <w:tblStyle w:val="26"/>
              <w:tblW w:w="6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048"/>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4" w:type="dxa"/>
                  <w:shd w:val="clear" w:color="auto" w:fill="auto"/>
                  <w:vAlign w:val="center"/>
                </w:tcPr>
                <w:p>
                  <w:pPr>
                    <w:adjustRightInd w:val="0"/>
                    <w:snapToGrid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专项评价的原则</w:t>
                  </w:r>
                </w:p>
              </w:tc>
              <w:tc>
                <w:tcPr>
                  <w:tcW w:w="3048" w:type="dxa"/>
                  <w:shd w:val="clear" w:color="auto" w:fill="auto"/>
                  <w:vAlign w:val="center"/>
                </w:tcPr>
                <w:p>
                  <w:pPr>
                    <w:adjustRightInd w:val="0"/>
                    <w:snapToGrid w:val="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设置原则</w:t>
                  </w:r>
                </w:p>
              </w:tc>
              <w:tc>
                <w:tcPr>
                  <w:tcW w:w="2661" w:type="dxa"/>
                  <w:shd w:val="clear" w:color="auto" w:fill="auto"/>
                  <w:vAlign w:val="center"/>
                </w:tcPr>
                <w:p>
                  <w:pPr>
                    <w:adjustRightInd w:val="0"/>
                    <w:snapToGrid w:val="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本项目情况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4" w:type="dxa"/>
                  <w:vAlign w:val="center"/>
                </w:tcPr>
                <w:p>
                  <w:pPr>
                    <w:adjustRightInd w:val="0"/>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大气</w:t>
                  </w:r>
                </w:p>
              </w:tc>
              <w:tc>
                <w:tcPr>
                  <w:tcW w:w="3048" w:type="dxa"/>
                  <w:vAlign w:val="center"/>
                </w:tcPr>
                <w:p>
                  <w:pPr>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排放废气含有毒有害污染物</w:t>
                  </w:r>
                  <w:r>
                    <w:rPr>
                      <w:rFonts w:hint="eastAsia" w:ascii="宋体" w:hAnsi="宋体" w:eastAsia="宋体" w:cs="宋体"/>
                      <w:color w:val="auto"/>
                      <w:sz w:val="21"/>
                      <w:szCs w:val="21"/>
                      <w:highlight w:val="none"/>
                      <w:vertAlign w:val="superscript"/>
                      <w:lang w:val="en-US" w:eastAsia="zh-CN"/>
                    </w:rPr>
                    <w:t>1</w:t>
                  </w:r>
                  <w:r>
                    <w:rPr>
                      <w:rFonts w:hint="eastAsia" w:ascii="宋体" w:hAnsi="宋体" w:eastAsia="宋体" w:cs="宋体"/>
                      <w:color w:val="auto"/>
                      <w:sz w:val="21"/>
                      <w:szCs w:val="21"/>
                      <w:highlight w:val="none"/>
                      <w:lang w:val="en-US" w:eastAsia="zh-CN"/>
                    </w:rPr>
                    <w:t>、二噁英、苯并[a]芘、氰化物、氯气且厂界外500米范围内有环境空气保护目标</w:t>
                  </w:r>
                  <w:r>
                    <w:rPr>
                      <w:rFonts w:hint="eastAsia" w:ascii="宋体" w:hAnsi="宋体" w:eastAsia="宋体" w:cs="宋体"/>
                      <w:color w:val="auto"/>
                      <w:sz w:val="21"/>
                      <w:szCs w:val="21"/>
                      <w:highlight w:val="none"/>
                      <w:vertAlign w:val="superscript"/>
                      <w:lang w:val="en-US" w:eastAsia="zh-CN"/>
                    </w:rPr>
                    <w:t>2</w:t>
                  </w:r>
                  <w:r>
                    <w:rPr>
                      <w:rFonts w:hint="eastAsia" w:ascii="宋体" w:hAnsi="宋体" w:eastAsia="宋体" w:cs="宋体"/>
                      <w:color w:val="auto"/>
                      <w:sz w:val="21"/>
                      <w:szCs w:val="21"/>
                      <w:highlight w:val="none"/>
                      <w:lang w:val="en-US" w:eastAsia="zh-CN"/>
                    </w:rPr>
                    <w:t>的建设项目</w:t>
                  </w:r>
                </w:p>
              </w:tc>
              <w:tc>
                <w:tcPr>
                  <w:tcW w:w="2661" w:type="dxa"/>
                  <w:vAlign w:val="center"/>
                </w:tcPr>
                <w:p>
                  <w:pPr>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本项目不涉及有毒有害污染物，因此无需开展大气专项评价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4" w:type="dxa"/>
                  <w:vAlign w:val="center"/>
                </w:tcPr>
                <w:p>
                  <w:pPr>
                    <w:adjustRightInd w:val="0"/>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地表水</w:t>
                  </w:r>
                </w:p>
              </w:tc>
              <w:tc>
                <w:tcPr>
                  <w:tcW w:w="3048" w:type="dxa"/>
                  <w:vAlign w:val="center"/>
                </w:tcPr>
                <w:p>
                  <w:pPr>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新增工业废水直排建设项目（槽罐车外送污水处理厂的除外）；新增废水直排的污水集中处理厂</w:t>
                  </w:r>
                </w:p>
              </w:tc>
              <w:tc>
                <w:tcPr>
                  <w:tcW w:w="2661" w:type="dxa"/>
                  <w:vAlign w:val="center"/>
                </w:tcPr>
                <w:p>
                  <w:pPr>
                    <w:adjustRightInd w:val="0"/>
                    <w:snapToGri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产生的废水，通过一套污水处理设施处理达《医疗机构水污染物排放标准》（GB18466-2005）表2中预处理标准及《污水排入城镇下水道水质标准》（GB/T31962-2015）表1中A级标准后排入勐海镇市镇污水管网，因此本项目无需开展地表水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4" w:type="dxa"/>
                  <w:vAlign w:val="center"/>
                </w:tcPr>
                <w:p>
                  <w:pPr>
                    <w:adjustRightInd w:val="0"/>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环境</w:t>
                  </w:r>
                </w:p>
                <w:p>
                  <w:pPr>
                    <w:adjustRightInd w:val="0"/>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风险</w:t>
                  </w:r>
                </w:p>
              </w:tc>
              <w:tc>
                <w:tcPr>
                  <w:tcW w:w="3048" w:type="dxa"/>
                  <w:vAlign w:val="center"/>
                </w:tcPr>
                <w:p>
                  <w:pPr>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有毒有害和易燃易爆危险物质存储量超过临界量</w:t>
                  </w:r>
                  <w:r>
                    <w:rPr>
                      <w:rFonts w:hint="eastAsia" w:ascii="宋体" w:hAnsi="宋体" w:eastAsia="宋体" w:cs="宋体"/>
                      <w:color w:val="auto"/>
                      <w:sz w:val="21"/>
                      <w:szCs w:val="21"/>
                      <w:highlight w:val="none"/>
                      <w:vertAlign w:val="superscript"/>
                      <w:lang w:val="en-US" w:eastAsia="zh-CN"/>
                    </w:rPr>
                    <w:t>3</w:t>
                  </w:r>
                  <w:r>
                    <w:rPr>
                      <w:rFonts w:hint="eastAsia" w:ascii="宋体" w:hAnsi="宋体" w:eastAsia="宋体" w:cs="宋体"/>
                      <w:color w:val="auto"/>
                      <w:sz w:val="21"/>
                      <w:szCs w:val="21"/>
                      <w:highlight w:val="none"/>
                      <w:lang w:val="en-US" w:eastAsia="zh-CN"/>
                    </w:rPr>
                    <w:t>的建设项目</w:t>
                  </w:r>
                </w:p>
              </w:tc>
              <w:tc>
                <w:tcPr>
                  <w:tcW w:w="2661" w:type="dxa"/>
                  <w:vAlign w:val="center"/>
                </w:tcPr>
                <w:p>
                  <w:pPr>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项目涉及的易燃易爆物质主要为氧气、酒精、柴油，根据风险评价判定可知，项目贮存量未超过临界值，因此无需开展环境风险专项评价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4" w:type="dxa"/>
                  <w:vAlign w:val="center"/>
                </w:tcPr>
                <w:p>
                  <w:pPr>
                    <w:adjustRightInd w:val="0"/>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生态</w:t>
                  </w:r>
                </w:p>
              </w:tc>
              <w:tc>
                <w:tcPr>
                  <w:tcW w:w="3048" w:type="dxa"/>
                  <w:vAlign w:val="center"/>
                </w:tcPr>
                <w:p>
                  <w:pPr>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取水口下游500米范围内有重要水生生物的自然产卵场、索饵场、越冬场和洄游通道的新增河道取水的污染类建设项目</w:t>
                  </w:r>
                </w:p>
              </w:tc>
              <w:tc>
                <w:tcPr>
                  <w:tcW w:w="2661" w:type="dxa"/>
                  <w:vAlign w:val="center"/>
                </w:tcPr>
                <w:p>
                  <w:pPr>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本项目不涉及河道取水，因此无需开展生态专项评价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4" w:type="dxa"/>
                  <w:vAlign w:val="center"/>
                </w:tcPr>
                <w:p>
                  <w:pPr>
                    <w:adjustRightInd w:val="0"/>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海洋</w:t>
                  </w:r>
                </w:p>
              </w:tc>
              <w:tc>
                <w:tcPr>
                  <w:tcW w:w="3048" w:type="dxa"/>
                  <w:vAlign w:val="center"/>
                </w:tcPr>
                <w:p>
                  <w:pPr>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直接向海排放污染物的海洋工程建设项目</w:t>
                  </w:r>
                </w:p>
              </w:tc>
              <w:tc>
                <w:tcPr>
                  <w:tcW w:w="2661" w:type="dxa"/>
                  <w:vAlign w:val="center"/>
                </w:tcPr>
                <w:p>
                  <w:pPr>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本项目不属于海洋工程建设项目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3" w:type="dxa"/>
                  <w:gridSpan w:val="3"/>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eastAsia="宋体" w:cs="宋体"/>
                      <w:color w:val="auto"/>
                      <w:spacing w:val="0"/>
                      <w:kern w:val="0"/>
                      <w:sz w:val="21"/>
                      <w:szCs w:val="21"/>
                      <w:highlight w:val="none"/>
                      <w:lang w:val="en-US" w:eastAsia="zh-CN"/>
                    </w:rPr>
                  </w:pPr>
                  <w:r>
                    <w:rPr>
                      <w:rFonts w:hint="eastAsia" w:ascii="宋体" w:hAnsi="宋体" w:eastAsia="宋体" w:cs="宋体"/>
                      <w:color w:val="auto"/>
                      <w:spacing w:val="0"/>
                      <w:kern w:val="0"/>
                      <w:sz w:val="21"/>
                      <w:szCs w:val="21"/>
                      <w:highlight w:val="none"/>
                      <w:lang w:val="en-US" w:eastAsia="zh-CN"/>
                    </w:rPr>
                    <w:t>注：1.废气中有毒有害污染物指纳入《有毒有害大气污染物名录》的污染物（不包括无排放标准的污染物）。</w:t>
                  </w:r>
                </w:p>
                <w:p>
                  <w:pPr>
                    <w:keepNext w:val="0"/>
                    <w:keepLines w:val="0"/>
                    <w:pageBreakBefore w:val="0"/>
                    <w:widowControl/>
                    <w:numPr>
                      <w:ilvl w:val="0"/>
                      <w:numId w:val="0"/>
                    </w:numPr>
                    <w:kinsoku/>
                    <w:wordWrap/>
                    <w:overflowPunct/>
                    <w:topLinePunct w:val="0"/>
                    <w:autoSpaceDE/>
                    <w:autoSpaceDN/>
                    <w:bidi w:val="0"/>
                    <w:adjustRightInd w:val="0"/>
                    <w:snapToGrid w:val="0"/>
                    <w:ind w:firstLine="0" w:firstLineChars="0"/>
                    <w:jc w:val="left"/>
                    <w:textAlignment w:val="auto"/>
                    <w:rPr>
                      <w:rFonts w:hint="eastAsia" w:ascii="宋体" w:hAnsi="宋体" w:eastAsia="宋体" w:cs="宋体"/>
                      <w:color w:val="auto"/>
                      <w:spacing w:val="0"/>
                      <w:kern w:val="0"/>
                      <w:sz w:val="21"/>
                      <w:szCs w:val="21"/>
                      <w:highlight w:val="none"/>
                      <w:lang w:val="en-US" w:eastAsia="zh-CN"/>
                    </w:rPr>
                  </w:pPr>
                  <w:r>
                    <w:rPr>
                      <w:rFonts w:hint="eastAsia" w:ascii="宋体" w:hAnsi="宋体" w:eastAsia="宋体" w:cs="宋体"/>
                      <w:color w:val="auto"/>
                      <w:spacing w:val="0"/>
                      <w:kern w:val="0"/>
                      <w:sz w:val="21"/>
                      <w:szCs w:val="21"/>
                      <w:highlight w:val="none"/>
                      <w:lang w:val="en-US" w:eastAsia="zh-CN"/>
                    </w:rPr>
                    <w:t>2.环境空气保护目标指自然保护区、风景名胜区、居住区、文化区和农村地区中人群较集中的区域。</w:t>
                  </w:r>
                </w:p>
                <w:p>
                  <w:pPr>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0"/>
                      <w:kern w:val="0"/>
                      <w:sz w:val="21"/>
                      <w:szCs w:val="21"/>
                      <w:highlight w:val="none"/>
                      <w:lang w:val="en-US" w:eastAsia="zh-CN"/>
                    </w:rPr>
                    <w:t>3.临界量及其计算方法可参考《建设项目环境风险评价技术导则》（HJ169）附录B、附录C。</w:t>
                  </w:r>
                </w:p>
              </w:tc>
            </w:tr>
            <w:bookmarkEnd w:id="9"/>
          </w:tbl>
          <w:p>
            <w:pPr>
              <w:autoSpaceDE w:val="0"/>
              <w:autoSpaceDN w:val="0"/>
              <w:adjustRightInd w:val="0"/>
              <w:snapToGrid w:val="0"/>
              <w:spacing w:line="360" w:lineRule="auto"/>
              <w:ind w:firstLine="560"/>
              <w:jc w:val="center"/>
              <w:rPr>
                <w:rFonts w:hint="eastAsia" w:ascii="宋体" w:hAnsi="宋体" w:eastAsia="宋体"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55" w:type="dxa"/>
            <w:vAlign w:val="center"/>
          </w:tcPr>
          <w:p>
            <w:pPr>
              <w:autoSpaceDE w:val="0"/>
              <w:autoSpaceDN w:val="0"/>
              <w:adjustRightInd w:val="0"/>
              <w:snapToGrid w:val="0"/>
              <w:spacing w:line="360" w:lineRule="auto"/>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规划情况</w:t>
            </w:r>
          </w:p>
        </w:tc>
        <w:tc>
          <w:tcPr>
            <w:tcW w:w="7186" w:type="dxa"/>
            <w:gridSpan w:val="3"/>
            <w:vAlign w:val="center"/>
          </w:tcPr>
          <w:p>
            <w:pPr>
              <w:autoSpaceDE w:val="0"/>
              <w:autoSpaceDN w:val="0"/>
              <w:adjustRightInd w:val="0"/>
              <w:snapToGrid w:val="0"/>
              <w:spacing w:line="360" w:lineRule="auto"/>
              <w:ind w:firstLine="56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2055" w:type="dxa"/>
            <w:vAlign w:val="center"/>
          </w:tcPr>
          <w:p>
            <w:pPr>
              <w:adjustRightInd w:val="0"/>
              <w:snapToGrid w:val="0"/>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规划环境影响</w:t>
            </w:r>
          </w:p>
          <w:p>
            <w:pPr>
              <w:adjustRightInd w:val="0"/>
              <w:snapToGrid w:val="0"/>
              <w:spacing w:line="360" w:lineRule="auto"/>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评价情况</w:t>
            </w:r>
          </w:p>
        </w:tc>
        <w:tc>
          <w:tcPr>
            <w:tcW w:w="7186" w:type="dxa"/>
            <w:gridSpan w:val="3"/>
            <w:vAlign w:val="center"/>
          </w:tcPr>
          <w:p>
            <w:pPr>
              <w:autoSpaceDE w:val="0"/>
              <w:autoSpaceDN w:val="0"/>
              <w:adjustRightInd w:val="0"/>
              <w:snapToGrid w:val="0"/>
              <w:spacing w:line="360" w:lineRule="auto"/>
              <w:ind w:firstLine="56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2055" w:type="dxa"/>
            <w:vAlign w:val="center"/>
          </w:tcPr>
          <w:p>
            <w:pPr>
              <w:autoSpaceDE w:val="0"/>
              <w:autoSpaceDN w:val="0"/>
              <w:adjustRightInd w:val="0"/>
              <w:snapToGrid w:val="0"/>
              <w:spacing w:line="360" w:lineRule="auto"/>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规划及规划环境影响评价符合性分析</w:t>
            </w:r>
          </w:p>
        </w:tc>
        <w:tc>
          <w:tcPr>
            <w:tcW w:w="7186" w:type="dxa"/>
            <w:gridSpan w:val="3"/>
            <w:vAlign w:val="center"/>
          </w:tcPr>
          <w:p>
            <w:pPr>
              <w:autoSpaceDE w:val="0"/>
              <w:autoSpaceDN w:val="0"/>
              <w:adjustRightInd w:val="0"/>
              <w:snapToGrid w:val="0"/>
              <w:spacing w:line="360" w:lineRule="auto"/>
              <w:ind w:firstLine="56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055" w:type="dxa"/>
            <w:vAlign w:val="center"/>
          </w:tcPr>
          <w:p>
            <w:pPr>
              <w:autoSpaceDE w:val="0"/>
              <w:autoSpaceDN w:val="0"/>
              <w:adjustRightInd w:val="0"/>
              <w:snapToGrid w:val="0"/>
              <w:spacing w:line="360" w:lineRule="auto"/>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其他符合性</w:t>
            </w:r>
          </w:p>
          <w:p>
            <w:pPr>
              <w:autoSpaceDE w:val="0"/>
              <w:autoSpaceDN w:val="0"/>
              <w:adjustRightInd w:val="0"/>
              <w:snapToGrid w:val="0"/>
              <w:spacing w:line="360" w:lineRule="auto"/>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分析</w:t>
            </w:r>
          </w:p>
        </w:tc>
        <w:tc>
          <w:tcPr>
            <w:tcW w:w="7186" w:type="dxa"/>
            <w:gridSpan w:val="3"/>
            <w:vAlign w:val="center"/>
          </w:tcPr>
          <w:p>
            <w:pPr>
              <w:autoSpaceDE w:val="0"/>
              <w:autoSpaceDN w:val="0"/>
              <w:adjustRightInd w:val="0"/>
              <w:snapToGrid w:val="0"/>
              <w:spacing w:line="360" w:lineRule="auto"/>
              <w:ind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1.“三线一单”符合性分析</w:t>
            </w:r>
          </w:p>
          <w:p>
            <w:pPr>
              <w:autoSpaceDE w:val="0"/>
              <w:autoSpaceDN w:val="0"/>
              <w:adjustRightInd w:val="0"/>
              <w:snapToGrid w:val="0"/>
              <w:spacing w:line="360" w:lineRule="auto"/>
              <w:ind w:firstLine="482" w:firstLineChars="2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1.1生态红线相符性</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本项目位于云南省西双版纳州勐海县勐海佛双路35号，根据《西双版纳州人民政府关于印发西双版纳州“三线一单”生态环境分区管控实施方案的通知》（西政发〔2021〕11 号），全州共划分31个生态环境管控单元，分为优先保护、重点管控和一般管控3类。其中优先保护单元共9个，重点管控单元共19个，一般管控单元共3个，本项目涉及勐海县城镇生活污染重点管控单元,大气环境受体敏感重点管控单元。符合性见下表1-</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p>
          <w:p>
            <w:pPr>
              <w:spacing w:line="360" w:lineRule="auto"/>
              <w:jc w:val="center"/>
              <w:rPr>
                <w:rFonts w:hint="eastAsia" w:ascii="黑体" w:hAnsi="黑体" w:eastAsia="黑体" w:cs="黑体"/>
                <w:b w:val="0"/>
                <w:bCs/>
                <w:color w:val="auto"/>
                <w:kern w:val="24"/>
                <w:sz w:val="21"/>
                <w:szCs w:val="21"/>
                <w:lang w:val="en-US" w:eastAsia="zh-CN"/>
              </w:rPr>
            </w:pPr>
            <w:r>
              <w:rPr>
                <w:rFonts w:hint="eastAsia" w:ascii="黑体" w:hAnsi="黑体" w:eastAsia="黑体" w:cs="黑体"/>
                <w:b w:val="0"/>
                <w:bCs/>
                <w:color w:val="auto"/>
                <w:kern w:val="24"/>
                <w:sz w:val="21"/>
                <w:szCs w:val="21"/>
                <w:lang w:val="en-US" w:eastAsia="zh-CN"/>
              </w:rPr>
              <w:t>表1-2  项目与《西双版纳州人民政府关于印发西双版纳州“三线一单”生态环境分区管控实施方案的通知》符合性分析表</w:t>
            </w:r>
          </w:p>
          <w:tbl>
            <w:tblPr>
              <w:tblStyle w:val="27"/>
              <w:tblW w:w="6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665"/>
              <w:gridCol w:w="1665"/>
              <w:gridCol w:w="2038"/>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0" w:type="dxa"/>
                  <w:shd w:val="clear" w:color="auto" w:fill="auto"/>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管控</w:t>
                  </w:r>
                </w:p>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领域</w:t>
                  </w:r>
                </w:p>
              </w:tc>
              <w:tc>
                <w:tcPr>
                  <w:tcW w:w="3330" w:type="dxa"/>
                  <w:gridSpan w:val="2"/>
                  <w:shd w:val="clear" w:color="auto" w:fill="auto"/>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准入要求</w:t>
                  </w:r>
                </w:p>
              </w:tc>
              <w:tc>
                <w:tcPr>
                  <w:tcW w:w="2038" w:type="dxa"/>
                  <w:shd w:val="clear" w:color="auto" w:fill="auto"/>
                  <w:vAlign w:val="center"/>
                </w:tcPr>
                <w:p>
                  <w:pPr>
                    <w:spacing w:line="240" w:lineRule="auto"/>
                    <w:jc w:val="center"/>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本项目情况</w:t>
                  </w:r>
                </w:p>
              </w:tc>
              <w:tc>
                <w:tcPr>
                  <w:tcW w:w="750" w:type="dxa"/>
                  <w:shd w:val="clear" w:color="auto" w:fill="auto"/>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00"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空间布局约束</w:t>
                  </w:r>
                </w:p>
              </w:tc>
              <w:tc>
                <w:tcPr>
                  <w:tcW w:w="3330" w:type="dxa"/>
                  <w:gridSpan w:val="2"/>
                  <w:vAlign w:val="center"/>
                </w:tcPr>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禁止在澜沧江、那达勐水库、南细河、曼旦水库和曼点水库等集中式饮用水水源 保护区，重要河流沿岸、重要湖库岸边、主要交通干线两侧等划定的禁养区内开展规模化畜禽养殖和水产养殖；</w:t>
                  </w:r>
                </w:p>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对澜沧江、南腊河、罗梭江和流沙河等重点流域，按质量改善目标要求严格落实 排放标准，完善排污许可管理要求，把治污任务落实到排污单位； </w:t>
                  </w:r>
                </w:p>
                <w:p>
                  <w:pPr>
                    <w:spacing w:line="24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（3）超海拔、超规划、超坡度的“三超”橡胶园逐步退出，开展生态修复</w:t>
                  </w:r>
                </w:p>
              </w:tc>
              <w:tc>
                <w:tcPr>
                  <w:tcW w:w="2038" w:type="dxa"/>
                  <w:vAlign w:val="center"/>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（1）本项目为基层医疗卫生服务项目，不涉及畜禽养殖和水产养殖；</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（2）本项目选址位于云南省西双版纳州</w:t>
                  </w:r>
                  <w:r>
                    <w:rPr>
                      <w:rFonts w:hint="eastAsia" w:ascii="宋体" w:hAnsi="宋体" w:eastAsia="宋体" w:cs="宋体"/>
                      <w:color w:val="auto"/>
                      <w:sz w:val="21"/>
                      <w:szCs w:val="21"/>
                      <w:lang w:val="en-US" w:eastAsia="zh-CN"/>
                    </w:rPr>
                    <w:t>勐海县勐海镇佛双路35号</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废水经一套污水处理设施处理达标后排入市政污水管网，</w:t>
                  </w:r>
                  <w:r>
                    <w:rPr>
                      <w:rFonts w:hint="eastAsia" w:ascii="宋体" w:hAnsi="宋体" w:eastAsia="宋体" w:cs="宋体"/>
                      <w:color w:val="auto"/>
                      <w:sz w:val="21"/>
                      <w:szCs w:val="21"/>
                    </w:rPr>
                    <w:t>不会恶化区域水环境质量；</w:t>
                  </w:r>
                </w:p>
                <w:p>
                  <w:pPr>
                    <w:spacing w:line="24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（3）本项目为基层医疗卫生服务项目，不属于橡胶园产业</w:t>
                  </w:r>
                </w:p>
              </w:tc>
              <w:tc>
                <w:tcPr>
                  <w:tcW w:w="750"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00"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污染 物排 放管 控</w:t>
                  </w:r>
                </w:p>
              </w:tc>
              <w:tc>
                <w:tcPr>
                  <w:tcW w:w="3330" w:type="dxa"/>
                  <w:gridSpan w:val="2"/>
                  <w:vAlign w:val="center"/>
                </w:tcPr>
                <w:p>
                  <w:pPr>
                    <w:numPr>
                      <w:ilvl w:val="0"/>
                      <w:numId w:val="0"/>
                    </w:numPr>
                    <w:spacing w:line="240" w:lineRule="auto"/>
                    <w:jc w:val="center"/>
                    <w:rPr>
                      <w:rFonts w:hint="eastAsia" w:ascii="宋体" w:hAnsi="宋体" w:eastAsia="宋体" w:cs="宋体"/>
                      <w:color w:val="auto"/>
                      <w:sz w:val="21"/>
                      <w:szCs w:val="21"/>
                      <w:lang w:eastAsia="zh-CN"/>
                    </w:rPr>
                  </w:pPr>
                </w:p>
                <w:p>
                  <w:pPr>
                    <w:numPr>
                      <w:ilvl w:val="0"/>
                      <w:numId w:val="0"/>
                    </w:numPr>
                    <w:spacing w:line="240" w:lineRule="auto"/>
                    <w:jc w:val="center"/>
                    <w:rPr>
                      <w:rFonts w:hint="eastAsia" w:ascii="宋体" w:hAnsi="宋体" w:eastAsia="宋体" w:cs="宋体"/>
                      <w:color w:val="auto"/>
                      <w:sz w:val="21"/>
                      <w:szCs w:val="21"/>
                      <w:lang w:eastAsia="zh-CN"/>
                    </w:rPr>
                  </w:pPr>
                </w:p>
                <w:p>
                  <w:pPr>
                    <w:numPr>
                      <w:ilvl w:val="0"/>
                      <w:numId w:val="0"/>
                    </w:numPr>
                    <w:spacing w:line="240" w:lineRule="auto"/>
                    <w:jc w:val="center"/>
                    <w:rPr>
                      <w:rFonts w:hint="eastAsia" w:ascii="宋体" w:hAnsi="宋体" w:eastAsia="宋体" w:cs="宋体"/>
                      <w:color w:val="auto"/>
                      <w:sz w:val="21"/>
                      <w:szCs w:val="21"/>
                      <w:lang w:eastAsia="zh-CN"/>
                    </w:rPr>
                  </w:pPr>
                </w:p>
                <w:p>
                  <w:pPr>
                    <w:numPr>
                      <w:ilvl w:val="0"/>
                      <w:numId w:val="0"/>
                    </w:numPr>
                    <w:spacing w:line="240" w:lineRule="auto"/>
                    <w:jc w:val="center"/>
                    <w:rPr>
                      <w:rFonts w:hint="eastAsia" w:ascii="宋体" w:hAnsi="宋体" w:eastAsia="宋体" w:cs="宋体"/>
                      <w:color w:val="auto"/>
                      <w:sz w:val="21"/>
                      <w:szCs w:val="21"/>
                      <w:lang w:eastAsia="zh-CN"/>
                    </w:rPr>
                  </w:pPr>
                </w:p>
                <w:p>
                  <w:pPr>
                    <w:numPr>
                      <w:ilvl w:val="0"/>
                      <w:numId w:val="0"/>
                    </w:numPr>
                    <w:spacing w:line="240" w:lineRule="auto"/>
                    <w:jc w:val="center"/>
                    <w:rPr>
                      <w:rFonts w:hint="eastAsia" w:ascii="宋体" w:hAnsi="宋体" w:eastAsia="宋体" w:cs="宋体"/>
                      <w:color w:val="auto"/>
                      <w:sz w:val="21"/>
                      <w:szCs w:val="21"/>
                      <w:lang w:eastAsia="zh-CN"/>
                    </w:rPr>
                  </w:pPr>
                </w:p>
                <w:p>
                  <w:pPr>
                    <w:numPr>
                      <w:ilvl w:val="0"/>
                      <w:numId w:val="0"/>
                    </w:num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工业集中区内企业应做到“清污分流、雨污分流”，实现废水分类收集处理，并对废水进行预处理，达到园区污水处理厂接管 要求后，方可接入园区污水处理厂集中处理。鼓励有条件的园区实施区域中水回用；</w:t>
                  </w:r>
                </w:p>
                <w:p>
                  <w:pPr>
                    <w:numPr>
                      <w:ilvl w:val="0"/>
                      <w:numId w:val="0"/>
                    </w:numPr>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（2）排污单位应依法持有排污许可证，并严格按证排污。对超标或超总量的排污单位 一律限制生产或停产整治。排污单位的污染物排放要符合国家或地方排放标准；有特别排放限值要求的，应依法依规执行；</w:t>
                  </w:r>
                </w:p>
                <w:p>
                  <w:pPr>
                    <w:numPr>
                      <w:ilvl w:val="0"/>
                      <w:numId w:val="0"/>
                    </w:numPr>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（3）重点开展制糖、酒精、屠宰、橡胶加工和水泥等行业总量控制</w:t>
                  </w:r>
                  <w:r>
                    <w:rPr>
                      <w:rFonts w:hint="eastAsia" w:ascii="宋体" w:hAnsi="宋体" w:cs="宋体"/>
                      <w:color w:val="auto"/>
                      <w:sz w:val="21"/>
                      <w:szCs w:val="21"/>
                      <w:lang w:eastAsia="zh-CN"/>
                    </w:rPr>
                    <w:t>。</w:t>
                  </w:r>
                </w:p>
              </w:tc>
              <w:tc>
                <w:tcPr>
                  <w:tcW w:w="2038" w:type="dxa"/>
                  <w:vAlign w:val="center"/>
                </w:tcPr>
                <w:p>
                  <w:pPr>
                    <w:spacing w:line="24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本项目不属于工业集中区内的企业；</w:t>
                  </w:r>
                </w:p>
                <w:p>
                  <w:pPr>
                    <w:spacing w:line="24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本项目为乡镇卫生院，属于《固定污染源排污许可分类管理名录（2019版）》中的“四十九、卫生84－医院8411－床位100张以下的综合”，根据《排污许可证管理暂行规定》，项目在《固定污染源排污许可分类管理名录（2019 年版）》规定的管理的行业内属于登记管理，不需申领排污许可证，应在全国排污许可证管理信息平台登记。</w:t>
                  </w:r>
                </w:p>
                <w:p>
                  <w:pPr>
                    <w:spacing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本项目为基层医疗卫生服务项目，不属于制糖、酒精、屠宰、橡胶加工和水泥等行业</w:t>
                  </w:r>
                </w:p>
              </w:tc>
              <w:tc>
                <w:tcPr>
                  <w:tcW w:w="750"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800" w:type="dxa"/>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环境 风险管控</w:t>
                  </w:r>
                </w:p>
              </w:tc>
              <w:tc>
                <w:tcPr>
                  <w:tcW w:w="3330" w:type="dxa"/>
                  <w:gridSpan w:val="2"/>
                  <w:vAlign w:val="center"/>
                </w:tcPr>
                <w:p>
                  <w:pPr>
                    <w:numPr>
                      <w:ilvl w:val="0"/>
                      <w:numId w:val="0"/>
                    </w:numPr>
                    <w:spacing w:line="24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强化工业集中区环境风险管控。实施技术、工艺、设备等生态化、循环化改造，加快布局分散的企业向园区集中，按要求设置生态隔离带，建设相应的防护工程；（2）工业集中区内工业废水必须经预处理达到集中处理要求，方可进入污水集中处理设施； </w:t>
                  </w:r>
                </w:p>
                <w:p>
                  <w:pPr>
                    <w:numPr>
                      <w:ilvl w:val="0"/>
                      <w:numId w:val="0"/>
                    </w:numPr>
                    <w:spacing w:line="240" w:lineRule="auto"/>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加强环境风险防控和应急管理，制定和完善突发环境事件和饮用水水源地突发环境事件应急预案，提高风险防控和突发环境事件应急处理能力</w:t>
                  </w:r>
                  <w:r>
                    <w:rPr>
                      <w:rFonts w:hint="eastAsia" w:ascii="宋体" w:hAnsi="宋体" w:eastAsia="宋体" w:cs="宋体"/>
                      <w:color w:val="auto"/>
                      <w:sz w:val="21"/>
                      <w:szCs w:val="21"/>
                      <w:lang w:eastAsia="zh-CN"/>
                    </w:rPr>
                    <w:t>。</w:t>
                  </w:r>
                </w:p>
              </w:tc>
              <w:tc>
                <w:tcPr>
                  <w:tcW w:w="2038" w:type="dxa"/>
                  <w:vAlign w:val="center"/>
                </w:tcPr>
                <w:p>
                  <w:pPr>
                    <w:spacing w:line="240" w:lineRule="auto"/>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本项目选址不在工业集中区，项目本身环境风险等级低，整体可控</w:t>
                  </w:r>
                  <w:r>
                    <w:rPr>
                      <w:rFonts w:hint="eastAsia" w:ascii="宋体" w:hAnsi="宋体" w:cs="宋体"/>
                      <w:color w:val="auto"/>
                      <w:sz w:val="21"/>
                      <w:szCs w:val="21"/>
                      <w:lang w:eastAsia="zh-CN"/>
                    </w:rPr>
                    <w:t>。</w:t>
                  </w:r>
                </w:p>
                <w:p>
                  <w:pPr>
                    <w:spacing w:line="240" w:lineRule="auto"/>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本项目选址不在工业集中区，项目</w:t>
                  </w:r>
                  <w:r>
                    <w:rPr>
                      <w:rFonts w:hint="eastAsia" w:ascii="宋体" w:hAnsi="宋体" w:eastAsia="宋体" w:cs="宋体"/>
                      <w:color w:val="auto"/>
                      <w:sz w:val="21"/>
                      <w:szCs w:val="21"/>
                      <w:lang w:eastAsia="zh-CN"/>
                    </w:rPr>
                    <w:t>废水</w:t>
                  </w:r>
                  <w:r>
                    <w:rPr>
                      <w:rFonts w:hint="eastAsia" w:ascii="宋体" w:hAnsi="宋体" w:eastAsia="宋体" w:cs="宋体"/>
                      <w:color w:val="auto"/>
                      <w:sz w:val="21"/>
                      <w:szCs w:val="21"/>
                      <w:lang w:val="en-US" w:eastAsia="zh-CN"/>
                    </w:rPr>
                    <w:t>经一套污水处理设施处理达标后排入市政污水管网</w:t>
                  </w:r>
                  <w:r>
                    <w:rPr>
                      <w:rFonts w:hint="eastAsia" w:ascii="宋体" w:hAnsi="宋体" w:eastAsia="宋体" w:cs="宋体"/>
                      <w:color w:val="auto"/>
                      <w:sz w:val="21"/>
                      <w:szCs w:val="21"/>
                    </w:rPr>
                    <w:t>，符合法律法规要求</w:t>
                  </w:r>
                  <w:r>
                    <w:rPr>
                      <w:rFonts w:hint="eastAsia" w:ascii="宋体" w:hAnsi="宋体" w:cs="宋体"/>
                      <w:color w:val="auto"/>
                      <w:sz w:val="21"/>
                      <w:szCs w:val="21"/>
                      <w:lang w:eastAsia="zh-CN"/>
                    </w:rPr>
                    <w:t>。</w:t>
                  </w:r>
                </w:p>
                <w:p>
                  <w:pPr>
                    <w:spacing w:line="24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建设单位编制</w:t>
                  </w:r>
                  <w:r>
                    <w:rPr>
                      <w:rFonts w:hint="eastAsia" w:ascii="宋体" w:hAnsi="宋体" w:eastAsia="宋体" w:cs="宋体"/>
                      <w:color w:val="auto"/>
                      <w:sz w:val="21"/>
                      <w:szCs w:val="21"/>
                      <w:lang w:val="en-US" w:eastAsia="zh-CN"/>
                    </w:rPr>
                    <w:t>有污水处理应急预案。</w:t>
                  </w:r>
                </w:p>
              </w:tc>
              <w:tc>
                <w:tcPr>
                  <w:tcW w:w="750"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800" w:type="dxa"/>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资源 利用效率</w:t>
                  </w:r>
                </w:p>
              </w:tc>
              <w:tc>
                <w:tcPr>
                  <w:tcW w:w="3330" w:type="dxa"/>
                  <w:gridSpan w:val="2"/>
                  <w:vAlign w:val="center"/>
                </w:tcPr>
                <w:p>
                  <w:pPr>
                    <w:numPr>
                      <w:ilvl w:val="0"/>
                      <w:numId w:val="0"/>
                    </w:numPr>
                    <w:spacing w:line="240" w:lineRule="auto"/>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降低水、土地、矿产资源消耗强度，强化约束性指标管理；</w:t>
                  </w:r>
                </w:p>
                <w:p>
                  <w:pPr>
                    <w:numPr>
                      <w:ilvl w:val="0"/>
                      <w:numId w:val="0"/>
                    </w:numPr>
                    <w:spacing w:line="24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（2）实行最严格的水资源管理制度，严格用水总量、强度指标管理，严格取水管控，</w:t>
                  </w:r>
                  <w:r>
                    <w:rPr>
                      <w:rFonts w:hint="eastAsia" w:ascii="宋体" w:hAnsi="宋体" w:cs="宋体"/>
                      <w:color w:val="auto"/>
                      <w:sz w:val="21"/>
                      <w:szCs w:val="21"/>
                      <w:lang w:eastAsia="zh-CN"/>
                    </w:rPr>
                    <w:t>。</w:t>
                  </w:r>
                  <w:r>
                    <w:rPr>
                      <w:rFonts w:hint="eastAsia" w:ascii="宋体" w:hAnsi="宋体" w:eastAsia="宋体" w:cs="宋体"/>
                      <w:color w:val="auto"/>
                      <w:sz w:val="21"/>
                      <w:szCs w:val="21"/>
                    </w:rPr>
                    <w:t>建立重点监控取水单位名录，强化重点监控取水单位管理。全州年用水总量、万元工业增加值用水量降幅等指标达到省考核要求；</w:t>
                  </w:r>
                </w:p>
                <w:p>
                  <w:pPr>
                    <w:numPr>
                      <w:ilvl w:val="0"/>
                      <w:numId w:val="0"/>
                    </w:numPr>
                    <w:spacing w:line="240" w:lineRule="auto"/>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（3）坚持最严格的耕地保护制度，守住耕地保护红线。坚持节约用地，严格执行耕地占补平衡等制度，提高土地投资强度和单位面积产出水平；</w:t>
                  </w:r>
                </w:p>
              </w:tc>
              <w:tc>
                <w:tcPr>
                  <w:tcW w:w="2038" w:type="dxa"/>
                  <w:vAlign w:val="center"/>
                </w:tcPr>
                <w:p>
                  <w:pPr>
                    <w:spacing w:line="24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本项目不</w:t>
                  </w:r>
                  <w:r>
                    <w:rPr>
                      <w:rFonts w:hint="eastAsia" w:ascii="宋体" w:hAnsi="宋体" w:eastAsia="宋体" w:cs="宋体"/>
                      <w:color w:val="auto"/>
                      <w:sz w:val="21"/>
                      <w:szCs w:val="21"/>
                      <w:lang w:val="en-US" w:eastAsia="zh-CN"/>
                    </w:rPr>
                    <w:t>涉及</w:t>
                  </w:r>
                  <w:r>
                    <w:rPr>
                      <w:rFonts w:hint="eastAsia" w:ascii="宋体" w:hAnsi="宋体" w:eastAsia="宋体" w:cs="宋体"/>
                      <w:color w:val="auto"/>
                      <w:sz w:val="21"/>
                      <w:szCs w:val="21"/>
                    </w:rPr>
                    <w:t>开采矿产资源，</w:t>
                  </w:r>
                  <w:r>
                    <w:rPr>
                      <w:rFonts w:hint="eastAsia" w:ascii="宋体" w:hAnsi="宋体" w:eastAsia="宋体" w:cs="宋体"/>
                      <w:color w:val="auto"/>
                      <w:sz w:val="21"/>
                      <w:szCs w:val="21"/>
                      <w:lang w:val="en-US" w:eastAsia="zh-CN"/>
                    </w:rPr>
                    <w:t>使用市政自来水，</w:t>
                  </w:r>
                  <w:r>
                    <w:rPr>
                      <w:rFonts w:hint="eastAsia" w:ascii="宋体" w:hAnsi="宋体" w:eastAsia="宋体" w:cs="宋体"/>
                      <w:color w:val="auto"/>
                      <w:sz w:val="21"/>
                      <w:szCs w:val="21"/>
                    </w:rPr>
                    <w:t>用水量不大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对区域影响不大；</w:t>
                  </w:r>
                </w:p>
                <w:p>
                  <w:pPr>
                    <w:spacing w:line="240" w:lineRule="auto"/>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本项目不占用</w:t>
                  </w:r>
                  <w:r>
                    <w:rPr>
                      <w:rFonts w:hint="eastAsia" w:ascii="宋体" w:hAnsi="宋体" w:eastAsia="宋体" w:cs="宋体"/>
                      <w:color w:val="auto"/>
                      <w:sz w:val="21"/>
                      <w:szCs w:val="21"/>
                      <w:lang w:val="en-US" w:eastAsia="zh-CN"/>
                    </w:rPr>
                    <w:t>耕地及</w:t>
                  </w:r>
                  <w:r>
                    <w:rPr>
                      <w:rFonts w:hint="eastAsia" w:ascii="宋体" w:hAnsi="宋体" w:eastAsia="宋体" w:cs="宋体"/>
                      <w:color w:val="auto"/>
                      <w:sz w:val="21"/>
                      <w:szCs w:val="21"/>
                    </w:rPr>
                    <w:t>永久基本农田</w:t>
                  </w:r>
                  <w:r>
                    <w:rPr>
                      <w:rFonts w:hint="eastAsia" w:ascii="宋体" w:hAnsi="宋体" w:eastAsia="宋体" w:cs="宋体"/>
                      <w:color w:val="auto"/>
                      <w:sz w:val="21"/>
                      <w:szCs w:val="21"/>
                      <w:lang w:eastAsia="zh-CN"/>
                    </w:rPr>
                    <w:t>。</w:t>
                  </w:r>
                </w:p>
              </w:tc>
              <w:tc>
                <w:tcPr>
                  <w:tcW w:w="750"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3" w:hRule="atLeast"/>
              </w:trPr>
              <w:tc>
                <w:tcPr>
                  <w:tcW w:w="800" w:type="dxa"/>
                  <w:vMerge w:val="restart"/>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勐海县城区生活污染重点管</w:t>
                  </w:r>
                </w:p>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控单元</w:t>
                  </w:r>
                </w:p>
                <w:p>
                  <w:pPr>
                    <w:spacing w:line="240" w:lineRule="auto"/>
                    <w:jc w:val="center"/>
                    <w:rPr>
                      <w:rFonts w:hint="eastAsia" w:ascii="宋体" w:hAnsi="宋体" w:eastAsia="宋体" w:cs="宋体"/>
                      <w:color w:val="auto"/>
                      <w:sz w:val="21"/>
                      <w:szCs w:val="21"/>
                    </w:rPr>
                  </w:pPr>
                </w:p>
              </w:tc>
              <w:tc>
                <w:tcPr>
                  <w:tcW w:w="1665" w:type="dxa"/>
                  <w:vAlign w:val="center"/>
                </w:tcPr>
                <w:p>
                  <w:pPr>
                    <w:spacing w:line="24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空间布局约束</w:t>
                  </w:r>
                </w:p>
              </w:tc>
              <w:tc>
                <w:tcPr>
                  <w:tcW w:w="1665" w:type="dxa"/>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落实生态环境保护基本要求，项目建设和运行应满足产业准入、总量控制、排放标准等管理规定。</w:t>
                  </w:r>
                </w:p>
                <w:p>
                  <w:pPr>
                    <w:spacing w:line="240" w:lineRule="auto"/>
                    <w:jc w:val="center"/>
                    <w:rPr>
                      <w:rFonts w:hint="eastAsia" w:ascii="宋体" w:hAnsi="宋体" w:eastAsia="宋体" w:cs="宋体"/>
                      <w:color w:val="auto"/>
                      <w:sz w:val="21"/>
                      <w:szCs w:val="21"/>
                    </w:rPr>
                  </w:pPr>
                </w:p>
              </w:tc>
              <w:tc>
                <w:tcPr>
                  <w:tcW w:w="2038" w:type="dxa"/>
                  <w:vMerge w:val="restart"/>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本项目属于鼓励类项目，满足产业准入要求；项目</w:t>
                  </w:r>
                  <w:r>
                    <w:rPr>
                      <w:rFonts w:hint="eastAsia" w:ascii="宋体" w:hAnsi="宋体" w:eastAsia="宋体" w:cs="宋体"/>
                      <w:color w:val="auto"/>
                      <w:sz w:val="21"/>
                      <w:szCs w:val="21"/>
                      <w:lang w:val="en-US" w:eastAsia="zh-CN"/>
                    </w:rPr>
                    <w:t>废水经一套污水处理设施处理达标后排入市政污水管网</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废气噪声达标排放，固废合理处置，</w:t>
                  </w:r>
                  <w:r>
                    <w:rPr>
                      <w:rFonts w:hint="eastAsia" w:ascii="宋体" w:hAnsi="宋体" w:eastAsia="宋体" w:cs="宋体"/>
                      <w:color w:val="auto"/>
                      <w:sz w:val="21"/>
                      <w:szCs w:val="21"/>
                    </w:rPr>
                    <w:t>符合法律法规要求</w:t>
                  </w:r>
                  <w:r>
                    <w:rPr>
                      <w:rFonts w:hint="eastAsia" w:ascii="宋体" w:hAnsi="宋体" w:eastAsia="宋体" w:cs="宋体"/>
                      <w:color w:val="auto"/>
                      <w:sz w:val="21"/>
                      <w:szCs w:val="21"/>
                      <w:lang w:eastAsia="zh-CN"/>
                    </w:rPr>
                    <w:t>。</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项目</w:t>
                  </w:r>
                  <w:r>
                    <w:rPr>
                      <w:rFonts w:hint="eastAsia" w:ascii="宋体" w:hAnsi="宋体" w:eastAsia="宋体" w:cs="宋体"/>
                      <w:color w:val="auto"/>
                      <w:sz w:val="21"/>
                      <w:szCs w:val="21"/>
                      <w:lang w:val="en-US" w:eastAsia="zh-CN"/>
                    </w:rPr>
                    <w:t>废水经一套污水处理设施处理达标后排入市政污水管网</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废气噪声达标排放，固废合理处置，</w:t>
                  </w:r>
                  <w:r>
                    <w:rPr>
                      <w:rFonts w:hint="eastAsia" w:ascii="宋体" w:hAnsi="宋体" w:eastAsia="宋体" w:cs="宋体"/>
                      <w:color w:val="auto"/>
                      <w:sz w:val="21"/>
                      <w:szCs w:val="21"/>
                    </w:rPr>
                    <w:t>符合法律法规要求</w:t>
                  </w:r>
                  <w:r>
                    <w:rPr>
                      <w:rFonts w:hint="eastAsia" w:ascii="宋体" w:hAnsi="宋体" w:eastAsia="宋体" w:cs="宋体"/>
                      <w:color w:val="auto"/>
                      <w:sz w:val="21"/>
                      <w:szCs w:val="21"/>
                      <w:lang w:eastAsia="zh-CN"/>
                    </w:rPr>
                    <w:t>。</w:t>
                  </w:r>
                </w:p>
              </w:tc>
              <w:tc>
                <w:tcPr>
                  <w:tcW w:w="750" w:type="dxa"/>
                  <w:vMerge w:val="restart"/>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800" w:type="dxa"/>
                  <w:vMerge w:val="continue"/>
                  <w:vAlign w:val="center"/>
                </w:tcPr>
                <w:p>
                  <w:pPr>
                    <w:spacing w:line="240" w:lineRule="auto"/>
                    <w:jc w:val="center"/>
                    <w:rPr>
                      <w:color w:val="auto"/>
                      <w:sz w:val="21"/>
                      <w:szCs w:val="21"/>
                    </w:rPr>
                  </w:pPr>
                </w:p>
              </w:tc>
              <w:tc>
                <w:tcPr>
                  <w:tcW w:w="1665" w:type="dxa"/>
                  <w:vAlign w:val="center"/>
                </w:tcPr>
                <w:p>
                  <w:pPr>
                    <w:spacing w:line="24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污染物排放管控</w:t>
                  </w:r>
                </w:p>
              </w:tc>
              <w:tc>
                <w:tcPr>
                  <w:tcW w:w="1665" w:type="dxa"/>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1.执行《云南省人民政府关于实施“三线一单”生态环境分区管控的意见》。</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2.新建饮食服务经营场所必须使用电能、天然气等清洁能源，已建饮食服务经营场所要限期完成清洁能源使用改造。</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3.加大城市建成区内洒水、抑尘等作业力度。</w:t>
                  </w:r>
                </w:p>
              </w:tc>
              <w:tc>
                <w:tcPr>
                  <w:tcW w:w="2038" w:type="dxa"/>
                  <w:vMerge w:val="continue"/>
                  <w:vAlign w:val="center"/>
                </w:tcPr>
                <w:p>
                  <w:pPr>
                    <w:spacing w:line="240" w:lineRule="auto"/>
                    <w:jc w:val="center"/>
                    <w:rPr>
                      <w:rFonts w:hint="eastAsia" w:ascii="宋体" w:hAnsi="宋体" w:eastAsia="宋体" w:cs="宋体"/>
                      <w:color w:val="auto"/>
                      <w:sz w:val="21"/>
                      <w:szCs w:val="21"/>
                    </w:rPr>
                  </w:pPr>
                </w:p>
              </w:tc>
              <w:tc>
                <w:tcPr>
                  <w:tcW w:w="750" w:type="dxa"/>
                  <w:vMerge w:val="continue"/>
                  <w:vAlign w:val="center"/>
                </w:tcPr>
                <w:p>
                  <w:pPr>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800" w:type="dxa"/>
                  <w:vMerge w:val="continue"/>
                  <w:vAlign w:val="center"/>
                </w:tcPr>
                <w:p>
                  <w:pPr>
                    <w:spacing w:line="240" w:lineRule="auto"/>
                    <w:jc w:val="center"/>
                    <w:rPr>
                      <w:rFonts w:hint="eastAsia" w:ascii="宋体" w:hAnsi="宋体" w:eastAsia="宋体" w:cs="宋体"/>
                      <w:color w:val="auto"/>
                      <w:sz w:val="21"/>
                      <w:szCs w:val="21"/>
                    </w:rPr>
                  </w:pPr>
                </w:p>
              </w:tc>
              <w:tc>
                <w:tcPr>
                  <w:tcW w:w="1665" w:type="dxa"/>
                  <w:vAlign w:val="center"/>
                </w:tcPr>
                <w:p>
                  <w:pPr>
                    <w:spacing w:line="24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环境风险防控</w:t>
                  </w:r>
                </w:p>
              </w:tc>
              <w:tc>
                <w:tcPr>
                  <w:tcW w:w="1665" w:type="dxa"/>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执行《云南省人民政府关于实施“三线一单”生态环境分区管控的见》。</w:t>
                  </w:r>
                </w:p>
              </w:tc>
              <w:tc>
                <w:tcPr>
                  <w:tcW w:w="2038" w:type="dxa"/>
                  <w:vMerge w:val="continue"/>
                  <w:vAlign w:val="center"/>
                </w:tcPr>
                <w:p>
                  <w:pPr>
                    <w:spacing w:line="240" w:lineRule="auto"/>
                    <w:jc w:val="center"/>
                    <w:rPr>
                      <w:rFonts w:hint="eastAsia" w:ascii="宋体" w:hAnsi="宋体" w:eastAsia="宋体" w:cs="宋体"/>
                      <w:color w:val="auto"/>
                      <w:sz w:val="21"/>
                      <w:szCs w:val="21"/>
                    </w:rPr>
                  </w:pPr>
                </w:p>
              </w:tc>
              <w:tc>
                <w:tcPr>
                  <w:tcW w:w="750" w:type="dxa"/>
                  <w:vMerge w:val="continue"/>
                  <w:vAlign w:val="center"/>
                </w:tcPr>
                <w:p>
                  <w:pPr>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800" w:type="dxa"/>
                  <w:vMerge w:val="continue"/>
                  <w:vAlign w:val="center"/>
                </w:tcPr>
                <w:p>
                  <w:pPr>
                    <w:spacing w:line="240" w:lineRule="auto"/>
                    <w:jc w:val="center"/>
                    <w:rPr>
                      <w:color w:val="auto"/>
                      <w:sz w:val="21"/>
                      <w:szCs w:val="21"/>
                    </w:rPr>
                  </w:pPr>
                </w:p>
              </w:tc>
              <w:tc>
                <w:tcPr>
                  <w:tcW w:w="1665" w:type="dxa"/>
                  <w:vAlign w:val="center"/>
                </w:tcPr>
                <w:p>
                  <w:pPr>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资源开发效率要求</w:t>
                  </w:r>
                </w:p>
              </w:tc>
              <w:tc>
                <w:tcPr>
                  <w:tcW w:w="1665" w:type="dxa"/>
                  <w:vAlign w:val="center"/>
                </w:tcPr>
                <w:p>
                  <w:pPr>
                    <w:spacing w:line="240" w:lineRule="auto"/>
                    <w:jc w:val="lef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1.执行《云南省人民政府关于实施“三线一单”生态环境分区管控的意见》。</w:t>
                  </w:r>
                </w:p>
                <w:p>
                  <w:pPr>
                    <w:spacing w:line="240" w:lineRule="auto"/>
                    <w:jc w:val="lef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2.推进高污染燃料禁燃区划定和修编工作。按照《高污染燃料目录》及当地</w:t>
                  </w:r>
                </w:p>
                <w:p>
                  <w:pPr>
                    <w:spacing w:line="240" w:lineRule="auto"/>
                    <w:jc w:val="lef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有关禁燃区管理规定执行。</w:t>
                  </w:r>
                </w:p>
              </w:tc>
              <w:tc>
                <w:tcPr>
                  <w:tcW w:w="2038" w:type="dxa"/>
                  <w:vAlign w:val="center"/>
                </w:tcPr>
                <w:p>
                  <w:pPr>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本项目不涉及使用高污染燃料</w:t>
                  </w:r>
                </w:p>
              </w:tc>
              <w:tc>
                <w:tcPr>
                  <w:tcW w:w="750" w:type="dxa"/>
                  <w:vAlign w:val="center"/>
                </w:tcPr>
                <w:p>
                  <w:pPr>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800" w:type="dxa"/>
                  <w:vAlign w:val="center"/>
                </w:tcPr>
                <w:p>
                  <w:pPr>
                    <w:spacing w:line="240" w:lineRule="auto"/>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勐海县大气环境受体敏感重</w:t>
                  </w:r>
                </w:p>
                <w:p>
                  <w:pPr>
                    <w:spacing w:line="240" w:lineRule="auto"/>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点管控区</w:t>
                  </w:r>
                </w:p>
                <w:p>
                  <w:pPr>
                    <w:spacing w:line="240" w:lineRule="auto"/>
                    <w:jc w:val="center"/>
                    <w:rPr>
                      <w:color w:val="auto"/>
                      <w:sz w:val="21"/>
                      <w:szCs w:val="21"/>
                    </w:rPr>
                  </w:pPr>
                </w:p>
              </w:tc>
              <w:tc>
                <w:tcPr>
                  <w:tcW w:w="3330" w:type="dxa"/>
                  <w:gridSpan w:val="2"/>
                  <w:vAlign w:val="center"/>
                </w:tcPr>
                <w:p>
                  <w:pPr>
                    <w:spacing w:line="240" w:lineRule="auto"/>
                    <w:jc w:val="left"/>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严控涉及大气污染排放的工业项目布局建设。禁止新建涉及有毒有害气体排放的项目。禁止投资燃煤电厂、水泥、钢铁冶炼等大气污染严重的项目。禁止新建、扩建采用非清洁燃料的项目和设施，现有产污企业应持续开展节能减排，制定改用清洁能源时间表。严格限制新建可能对主城区大气产生影响的燃用煤、重油等高污染燃料的工业项目。禁止焚烧生活垃圾、建筑垃圾、环卫清扫物等废弃物。加快城市建成区重污染企业搬迁改造或关闭退出。</w:t>
                  </w:r>
                </w:p>
              </w:tc>
              <w:tc>
                <w:tcPr>
                  <w:tcW w:w="2038" w:type="dxa"/>
                  <w:vAlign w:val="center"/>
                </w:tcPr>
                <w:p>
                  <w:pPr>
                    <w:spacing w:line="240" w:lineRule="auto"/>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本项目为医疗卫生项目，无有毒有害气体排放，项目使用电能、太阳能等清洁能源。生活垃圾委托环卫部门清运处置，建筑垃圾运至城建部门指定地点堆放。</w:t>
                  </w:r>
                </w:p>
              </w:tc>
              <w:tc>
                <w:tcPr>
                  <w:tcW w:w="750" w:type="dxa"/>
                  <w:vAlign w:val="center"/>
                </w:tcPr>
                <w:p>
                  <w:pPr>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符合</w:t>
                  </w:r>
                </w:p>
              </w:tc>
            </w:tr>
          </w:tbl>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综上，本项目的建设基本符合《西双版纳州人民政府关于印发西双版纳州“三线一单”生态环境分区管控实施方案的通知》（西政发〔2021〕11号）的要求。</w:t>
            </w:r>
          </w:p>
          <w:p>
            <w:pPr>
              <w:autoSpaceDE w:val="0"/>
              <w:autoSpaceDN w:val="0"/>
              <w:adjustRightInd w:val="0"/>
              <w:snapToGrid w:val="0"/>
              <w:spacing w:line="360" w:lineRule="auto"/>
              <w:ind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1.2环境质量底线</w:t>
            </w:r>
          </w:p>
          <w:p>
            <w:pPr>
              <w:autoSpaceDE w:val="0"/>
              <w:autoSpaceDN w:val="0"/>
              <w:adjustRightInd w:val="0"/>
              <w:snapToGrid w:val="0"/>
              <w:spacing w:line="360" w:lineRule="auto"/>
              <w:ind w:firstLine="56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1.2.1水环境质量底线</w:t>
            </w:r>
          </w:p>
          <w:p>
            <w:pPr>
              <w:autoSpaceDE w:val="0"/>
              <w:autoSpaceDN w:val="0"/>
              <w:adjustRightInd w:val="0"/>
              <w:snapToGrid w:val="0"/>
              <w:spacing w:line="360" w:lineRule="auto"/>
              <w:ind w:firstLine="560"/>
              <w:jc w:val="center"/>
              <w:rPr>
                <w:rFonts w:hint="eastAsia" w:ascii="宋体" w:hAnsi="宋体" w:eastAsia="宋体" w:cs="宋体"/>
                <w:color w:val="auto"/>
                <w:sz w:val="24"/>
                <w:szCs w:val="24"/>
              </w:rPr>
            </w:pPr>
            <w:r>
              <w:rPr>
                <w:rFonts w:hint="eastAsia" w:ascii="宋体" w:hAnsi="宋体" w:eastAsia="宋体" w:cs="宋体"/>
                <w:color w:val="auto"/>
                <w:sz w:val="24"/>
                <w:szCs w:val="24"/>
              </w:rPr>
              <w:t>到2025年，西双版纳州纳入国家和省级考核的地表水监测断面水质优良率（达到或优于Ⅲ类）比例继续保持100%，新增监测断面水质优良率100%。集中式饮用水水源地水质优良率100%。到2035年，全州水环境质量继续保持稳定，水生态系统功能保持良好状态，纳入国家、省控制的地表水优良水体断面优良率继续保持100%，新增监测断面水质优良率100%，集中式饮用水水源地水质优良率100%。</w:t>
            </w:r>
          </w:p>
          <w:p>
            <w:pPr>
              <w:spacing w:line="360" w:lineRule="auto"/>
              <w:ind w:firstLine="472" w:firstLineChars="200"/>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根据《202</w:t>
            </w:r>
            <w:r>
              <w:rPr>
                <w:rFonts w:hint="eastAsia" w:ascii="宋体" w:hAnsi="宋体" w:eastAsia="宋体" w:cs="宋体"/>
                <w:color w:val="auto"/>
                <w:spacing w:val="-2"/>
                <w:sz w:val="24"/>
                <w:szCs w:val="24"/>
                <w:lang w:val="en-US" w:eastAsia="zh-CN"/>
              </w:rPr>
              <w:t>2</w:t>
            </w:r>
            <w:r>
              <w:rPr>
                <w:rFonts w:hint="eastAsia" w:ascii="宋体" w:hAnsi="宋体" w:eastAsia="宋体" w:cs="宋体"/>
                <w:color w:val="auto"/>
                <w:spacing w:val="-2"/>
                <w:sz w:val="24"/>
                <w:szCs w:val="24"/>
              </w:rPr>
              <w:t>年西双版纳傣族自治州生态环境质量状况年报》，全州12个国控、省控地表水监测断面水质优良</w:t>
            </w:r>
            <w:r>
              <w:rPr>
                <w:rFonts w:hint="eastAsia" w:ascii="宋体" w:hAnsi="宋体" w:eastAsia="宋体" w:cs="宋体"/>
                <w:color w:val="auto"/>
                <w:spacing w:val="-2"/>
                <w:sz w:val="24"/>
                <w:szCs w:val="24"/>
                <w:lang w:eastAsia="zh-CN"/>
              </w:rPr>
              <w:t>（</w:t>
            </w:r>
            <w:r>
              <w:rPr>
                <w:rFonts w:hint="eastAsia" w:ascii="宋体" w:hAnsi="宋体" w:eastAsia="宋体" w:cs="宋体"/>
                <w:color w:val="auto"/>
                <w:spacing w:val="-2"/>
                <w:sz w:val="24"/>
                <w:szCs w:val="24"/>
              </w:rPr>
              <w:t>Ⅰ一Ⅲ类</w:t>
            </w:r>
            <w:r>
              <w:rPr>
                <w:rFonts w:hint="eastAsia" w:ascii="宋体" w:hAnsi="宋体" w:eastAsia="宋体" w:cs="宋体"/>
                <w:color w:val="auto"/>
                <w:spacing w:val="-2"/>
                <w:sz w:val="24"/>
                <w:szCs w:val="24"/>
                <w:lang w:eastAsia="zh-CN"/>
              </w:rPr>
              <w:t>）</w:t>
            </w:r>
            <w:r>
              <w:rPr>
                <w:rFonts w:hint="eastAsia" w:ascii="宋体" w:hAnsi="宋体" w:eastAsia="宋体" w:cs="宋体"/>
                <w:color w:val="auto"/>
                <w:spacing w:val="-2"/>
                <w:sz w:val="24"/>
                <w:szCs w:val="24"/>
              </w:rPr>
              <w:t>比率达到100%，其中</w:t>
            </w:r>
            <w:r>
              <w:rPr>
                <w:rFonts w:hint="eastAsia" w:ascii="宋体" w:hAnsi="宋体" w:eastAsia="宋体" w:cs="宋体"/>
                <w:color w:val="auto"/>
                <w:spacing w:val="-2"/>
                <w:sz w:val="24"/>
                <w:szCs w:val="24"/>
                <w:lang w:eastAsia="zh-CN"/>
              </w:rPr>
              <w:t>：</w:t>
            </w:r>
            <w:r>
              <w:rPr>
                <w:rFonts w:hint="eastAsia" w:ascii="宋体" w:hAnsi="宋体" w:eastAsia="宋体" w:cs="宋体"/>
                <w:color w:val="auto"/>
                <w:spacing w:val="-2"/>
                <w:sz w:val="24"/>
                <w:szCs w:val="24"/>
              </w:rPr>
              <w:t>Ⅱ类监测断面9个，占75%;Ⅲ类监测断面3个，占25%。水质状况与2021年同期基本持平，水环境质量持续并列全省第一。</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w:t>
            </w:r>
            <w:r>
              <w:rPr>
                <w:rFonts w:hint="eastAsia" w:ascii="宋体" w:hAnsi="宋体" w:eastAsia="宋体" w:cs="宋体"/>
                <w:color w:val="auto"/>
                <w:sz w:val="24"/>
                <w:szCs w:val="24"/>
                <w:lang w:val="en-US" w:eastAsia="zh-CN"/>
              </w:rPr>
              <w:t>废水经一体化污水处理设施处理达标后，排入勐海镇市政污水管网</w:t>
            </w:r>
            <w:r>
              <w:rPr>
                <w:rFonts w:hint="eastAsia" w:ascii="宋体" w:hAnsi="宋体" w:eastAsia="宋体" w:cs="宋体"/>
                <w:color w:val="auto"/>
                <w:sz w:val="24"/>
                <w:szCs w:val="24"/>
              </w:rPr>
              <w:t>，不会突破水环境质量底线。</w:t>
            </w:r>
          </w:p>
          <w:p>
            <w:pPr>
              <w:autoSpaceDE w:val="0"/>
              <w:autoSpaceDN w:val="0"/>
              <w:adjustRightInd w:val="0"/>
              <w:snapToGrid w:val="0"/>
              <w:spacing w:line="360" w:lineRule="auto"/>
              <w:ind w:firstLine="56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1.2.2大气环境质量底线</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到2025年，西双版纳州环境空气质量稳中向好，到2035年，环境空气质量全面提升，各县（市）城市环境空气质量稳定达到国家二级标准，细颗粒物（PM</w:t>
            </w:r>
            <w:r>
              <w:rPr>
                <w:rFonts w:hint="eastAsia" w:ascii="宋体" w:hAnsi="宋体" w:eastAsia="宋体" w:cs="宋体"/>
                <w:color w:val="auto"/>
                <w:sz w:val="24"/>
                <w:szCs w:val="24"/>
                <w:vertAlign w:val="subscript"/>
              </w:rPr>
              <w:t>2.5</w:t>
            </w:r>
            <w:r>
              <w:rPr>
                <w:rFonts w:hint="eastAsia" w:ascii="宋体" w:hAnsi="宋体" w:eastAsia="宋体" w:cs="宋体"/>
                <w:color w:val="auto"/>
                <w:sz w:val="24"/>
                <w:szCs w:val="24"/>
              </w:rPr>
              <w:t>）控制在省下达指标内。</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本项目所在地大气环境为环境空气质量功能二类地区，</w:t>
            </w:r>
            <w:r>
              <w:rPr>
                <w:rFonts w:hint="eastAsia" w:ascii="宋体" w:hAnsi="宋体" w:eastAsia="宋体" w:cs="宋体"/>
                <w:color w:val="auto"/>
                <w:sz w:val="24"/>
                <w:szCs w:val="24"/>
              </w:rPr>
              <w:t>根据《2022年西双版纳傣族自治州生态环境质量状况年报》，</w:t>
            </w:r>
            <w:r>
              <w:rPr>
                <w:rFonts w:hint="eastAsia" w:ascii="宋体" w:hAnsi="宋体" w:eastAsia="宋体" w:cs="宋体"/>
                <w:color w:val="auto"/>
                <w:sz w:val="24"/>
                <w:szCs w:val="24"/>
                <w:lang w:val="en-US" w:eastAsia="zh-CN"/>
              </w:rPr>
              <w:t>勐海县</w:t>
            </w:r>
            <w:r>
              <w:rPr>
                <w:rFonts w:hint="eastAsia" w:ascii="宋体" w:hAnsi="宋体" w:eastAsia="宋体" w:cs="宋体"/>
                <w:color w:val="auto"/>
                <w:sz w:val="24"/>
                <w:szCs w:val="24"/>
              </w:rPr>
              <w:t>全年有效监测天数358天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其中</w:t>
            </w:r>
            <w:r>
              <w:rPr>
                <w:rFonts w:hint="eastAsia" w:ascii="宋体" w:hAnsi="宋体" w:eastAsia="宋体" w:cs="宋体"/>
                <w:color w:val="auto"/>
                <w:sz w:val="24"/>
                <w:szCs w:val="24"/>
                <w:lang w:eastAsia="zh-CN"/>
              </w:rPr>
              <w:t>环境空气质量</w:t>
            </w:r>
            <w:r>
              <w:rPr>
                <w:rFonts w:hint="eastAsia" w:ascii="宋体" w:hAnsi="宋体" w:eastAsia="宋体" w:cs="宋体"/>
                <w:color w:val="auto"/>
                <w:sz w:val="24"/>
                <w:szCs w:val="24"/>
              </w:rPr>
              <w:t>为优的</w:t>
            </w:r>
            <w:r>
              <w:rPr>
                <w:rFonts w:hint="eastAsia" w:ascii="宋体" w:hAnsi="宋体" w:eastAsia="宋体" w:cs="宋体"/>
                <w:color w:val="auto"/>
                <w:sz w:val="24"/>
                <w:szCs w:val="24"/>
                <w:lang w:eastAsia="zh-CN"/>
              </w:rPr>
              <w:t>天数</w:t>
            </w:r>
            <w:r>
              <w:rPr>
                <w:rFonts w:hint="eastAsia" w:ascii="宋体" w:hAnsi="宋体" w:eastAsia="宋体" w:cs="宋体"/>
                <w:color w:val="auto"/>
                <w:sz w:val="24"/>
                <w:szCs w:val="24"/>
              </w:rPr>
              <w:t>292天，占81.6%，环境空气质量为良的天数65天，占18.1%，全年优良天数比率为99.7%，比2021年提升了1.7个百分点。轻度污染天数1天，占0.3%，污染天数较2021年减少6天，未出现中度及以上污染天气。主要污染物PM</w:t>
            </w:r>
            <w:r>
              <w:rPr>
                <w:rFonts w:hint="eastAsia" w:ascii="宋体" w:hAnsi="宋体" w:eastAsia="宋体" w:cs="宋体"/>
                <w:color w:val="auto"/>
                <w:sz w:val="24"/>
                <w:szCs w:val="24"/>
                <w:vertAlign w:val="subscript"/>
              </w:rPr>
              <w:t>2.5</w:t>
            </w:r>
            <w:r>
              <w:rPr>
                <w:rFonts w:hint="eastAsia" w:ascii="宋体" w:hAnsi="宋体" w:eastAsia="宋体" w:cs="宋体"/>
                <w:color w:val="auto"/>
                <w:sz w:val="24"/>
                <w:szCs w:val="24"/>
              </w:rPr>
              <w:t>年均值为17ug/m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，比2021年下降了29.2%。</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项目区</w:t>
            </w:r>
            <w:r>
              <w:rPr>
                <w:rFonts w:hint="eastAsia" w:ascii="宋体" w:hAnsi="宋体" w:eastAsia="宋体" w:cs="宋体"/>
                <w:color w:val="auto"/>
                <w:sz w:val="24"/>
                <w:szCs w:val="24"/>
                <w:lang w:val="zh-CN"/>
              </w:rPr>
              <w:t>满足《环境空气质量标准》（GB3095-2012）中二级标准要求，</w:t>
            </w:r>
            <w:r>
              <w:rPr>
                <w:rFonts w:hint="eastAsia" w:ascii="宋体" w:hAnsi="宋体" w:eastAsia="宋体" w:cs="宋体"/>
                <w:color w:val="auto"/>
                <w:sz w:val="24"/>
                <w:szCs w:val="24"/>
              </w:rPr>
              <w:t>为达标区域。</w:t>
            </w:r>
          </w:p>
          <w:p>
            <w:pPr>
              <w:autoSpaceDE w:val="0"/>
              <w:autoSpaceDN w:val="0"/>
              <w:adjustRightInd w:val="0"/>
              <w:snapToGrid w:val="0"/>
              <w:spacing w:line="360" w:lineRule="auto"/>
              <w:ind w:firstLine="56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1.2.3土壤环境风险防控底线</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到2025年，西双版纳州土壤环境风险防范体系进一步完善，受污染耕地安全利用率和污染地块安全利用率进一步提高。到2035年，土壤环境质量稳中向好，农用地和建设用地土壤环境质量安全得到有效保障，土壤环境风险得到全面管控。</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本项目运营过程中主要会产生的废物为一般固废及医疗废物。一般固废集中收集后清运至垃圾收集点由环卫部门集中处置；危险废物存于</w:t>
            </w:r>
            <w:r>
              <w:rPr>
                <w:rFonts w:hint="eastAsia" w:ascii="宋体" w:hAnsi="宋体" w:cs="宋体"/>
                <w:color w:val="auto"/>
                <w:sz w:val="24"/>
                <w:szCs w:val="24"/>
                <w:lang w:eastAsia="zh-CN"/>
              </w:rPr>
              <w:t>医疗废物暂存间</w:t>
            </w:r>
            <w:r>
              <w:rPr>
                <w:rFonts w:hint="eastAsia" w:ascii="宋体" w:hAnsi="宋体" w:eastAsia="宋体" w:cs="宋体"/>
                <w:color w:val="auto"/>
                <w:sz w:val="24"/>
                <w:szCs w:val="24"/>
              </w:rPr>
              <w:t>内，委托西双版纳金盛医疗废物处置有限公司处置。</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项目的化粪池、污水处理</w:t>
            </w:r>
            <w:r>
              <w:rPr>
                <w:rFonts w:hint="eastAsia" w:ascii="宋体" w:hAnsi="宋体" w:eastAsia="宋体" w:cs="宋体"/>
                <w:color w:val="auto"/>
                <w:sz w:val="24"/>
                <w:szCs w:val="24"/>
                <w:lang w:eastAsia="zh-CN"/>
              </w:rPr>
              <w:t>设施</w:t>
            </w:r>
            <w:r>
              <w:rPr>
                <w:rFonts w:hint="eastAsia" w:ascii="宋体" w:hAnsi="宋体" w:eastAsia="宋体" w:cs="宋体"/>
                <w:color w:val="auto"/>
                <w:sz w:val="24"/>
                <w:szCs w:val="24"/>
              </w:rPr>
              <w:t>及医疗废物暂存间已进行过防渗处理，</w:t>
            </w:r>
            <w:r>
              <w:rPr>
                <w:rFonts w:hint="eastAsia" w:ascii="宋体" w:hAnsi="宋体" w:eastAsia="宋体" w:cs="宋体"/>
                <w:color w:val="auto"/>
                <w:sz w:val="24"/>
                <w:szCs w:val="24"/>
                <w:lang w:val="en-US" w:eastAsia="zh-CN"/>
              </w:rPr>
              <w:t>场地已全部硬化，</w:t>
            </w:r>
            <w:r>
              <w:rPr>
                <w:rFonts w:hint="eastAsia" w:ascii="宋体" w:hAnsi="宋体" w:eastAsia="宋体" w:cs="宋体"/>
                <w:color w:val="auto"/>
                <w:sz w:val="24"/>
                <w:szCs w:val="24"/>
              </w:rPr>
              <w:t>可避免废水和医疗废物渗出液下渗污染</w:t>
            </w:r>
            <w:r>
              <w:rPr>
                <w:rFonts w:hint="eastAsia" w:ascii="宋体" w:hAnsi="宋体" w:eastAsia="宋体" w:cs="宋体"/>
                <w:color w:val="auto"/>
                <w:sz w:val="24"/>
                <w:szCs w:val="24"/>
                <w:lang w:val="en-US" w:eastAsia="zh-CN"/>
              </w:rPr>
              <w:t>土壤</w:t>
            </w:r>
            <w:r>
              <w:rPr>
                <w:rFonts w:hint="eastAsia" w:ascii="宋体" w:hAnsi="宋体" w:eastAsia="宋体" w:cs="宋体"/>
                <w:color w:val="auto"/>
                <w:sz w:val="24"/>
                <w:szCs w:val="24"/>
              </w:rPr>
              <w:t>。同时应加强管理，定期对排水管道进行检修和维护，避免废水跑冒滴漏现象的发生，可以有效避免本项目废水的下渗及跑冒滴漏，从而避免废水污染地下水</w:t>
            </w:r>
            <w:r>
              <w:rPr>
                <w:rFonts w:hint="eastAsia" w:ascii="宋体" w:hAnsi="宋体" w:eastAsia="宋体" w:cs="宋体"/>
                <w:color w:val="auto"/>
                <w:sz w:val="24"/>
                <w:szCs w:val="24"/>
                <w:lang w:val="en-US" w:eastAsia="zh-CN"/>
              </w:rPr>
              <w:t>及土壤</w:t>
            </w:r>
            <w:r>
              <w:rPr>
                <w:rFonts w:hint="eastAsia" w:ascii="宋体" w:hAnsi="宋体" w:eastAsia="宋体" w:cs="宋体"/>
                <w:color w:val="auto"/>
                <w:sz w:val="24"/>
                <w:szCs w:val="24"/>
              </w:rPr>
              <w:t>。本项目运营过程中不会突破土壤环境风险防控底线。</w:t>
            </w:r>
          </w:p>
          <w:p>
            <w:pPr>
              <w:autoSpaceDE w:val="0"/>
              <w:autoSpaceDN w:val="0"/>
              <w:adjustRightInd w:val="0"/>
              <w:snapToGrid w:val="0"/>
              <w:spacing w:line="360" w:lineRule="auto"/>
              <w:ind w:firstLine="56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本项目</w:t>
            </w:r>
            <w:r>
              <w:rPr>
                <w:rFonts w:hint="eastAsia" w:ascii="宋体" w:hAnsi="宋体" w:eastAsia="宋体" w:cs="宋体"/>
                <w:color w:val="auto"/>
                <w:sz w:val="24"/>
                <w:szCs w:val="24"/>
              </w:rPr>
              <w:t>采取报告中提出的相关治理措施后，项目各类污染物能够达到相应的排放标准，对周边环境质量的影响可得到较好控制。本项目的建设运行不会突破项目所在地的环境质量底线，项目符合环境质量底线要求</w:t>
            </w:r>
            <w:r>
              <w:rPr>
                <w:rFonts w:hint="eastAsia" w:ascii="宋体" w:hAnsi="宋体" w:eastAsia="宋体" w:cs="宋体"/>
                <w:color w:val="auto"/>
                <w:sz w:val="24"/>
                <w:szCs w:val="24"/>
                <w:lang w:eastAsia="zh-CN"/>
              </w:rPr>
              <w:t>。</w:t>
            </w:r>
          </w:p>
          <w:p>
            <w:pPr>
              <w:autoSpaceDE w:val="0"/>
              <w:autoSpaceDN w:val="0"/>
              <w:adjustRightInd w:val="0"/>
              <w:snapToGrid w:val="0"/>
              <w:spacing w:line="360" w:lineRule="auto"/>
              <w:ind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1.3资源利用上线</w:t>
            </w:r>
          </w:p>
          <w:p>
            <w:pPr>
              <w:autoSpaceDE w:val="0"/>
              <w:autoSpaceDN w:val="0"/>
              <w:adjustRightInd w:val="0"/>
              <w:snapToGrid w:val="0"/>
              <w:spacing w:line="360" w:lineRule="auto"/>
              <w:ind w:firstLine="56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1.3.1</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水资源利用上线</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2020年，全州年用水总量控制在7.37亿</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以内；2030年，全州年用水总量控制在7.74亿</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以内。</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本项目位于勐海县勐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本项目运营期用水包括门诊、住院楼医疗用水和</w:t>
            </w:r>
            <w:r>
              <w:rPr>
                <w:rFonts w:hint="eastAsia" w:ascii="宋体" w:hAnsi="宋体" w:eastAsia="宋体" w:cs="宋体"/>
                <w:color w:val="auto"/>
                <w:sz w:val="24"/>
                <w:szCs w:val="24"/>
                <w:lang w:val="en-US" w:eastAsia="zh-CN"/>
              </w:rPr>
              <w:t>职工生活</w:t>
            </w:r>
            <w:r>
              <w:rPr>
                <w:rFonts w:hint="eastAsia" w:ascii="宋体" w:hAnsi="宋体" w:eastAsia="宋体" w:cs="宋体"/>
                <w:color w:val="auto"/>
                <w:sz w:val="24"/>
                <w:szCs w:val="24"/>
              </w:rPr>
              <w:t>用水，项目用水取自当地自来水，区域附近水量充足，不会达到资源利用上线。</w:t>
            </w:r>
          </w:p>
          <w:p>
            <w:pPr>
              <w:autoSpaceDE w:val="0"/>
              <w:autoSpaceDN w:val="0"/>
              <w:adjustRightInd w:val="0"/>
              <w:snapToGrid w:val="0"/>
              <w:spacing w:line="360" w:lineRule="auto"/>
              <w:ind w:firstLine="56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1.3.2</w:t>
            </w:r>
            <w:r>
              <w:rPr>
                <w:rFonts w:hint="eastAsia" w:ascii="宋体" w:hAnsi="宋体" w:cs="宋体"/>
                <w:b/>
                <w:bCs/>
                <w:color w:val="auto"/>
                <w:sz w:val="24"/>
                <w:szCs w:val="24"/>
                <w:lang w:val="en-US" w:eastAsia="zh-CN"/>
              </w:rPr>
              <w:t xml:space="preserve"> </w:t>
            </w:r>
            <w:r>
              <w:rPr>
                <w:rFonts w:hint="eastAsia" w:ascii="宋体" w:hAnsi="宋体" w:eastAsia="宋体" w:cs="宋体"/>
                <w:b/>
                <w:bCs/>
                <w:color w:val="auto"/>
                <w:sz w:val="24"/>
                <w:szCs w:val="24"/>
              </w:rPr>
              <w:t>土地资源利用上线</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2020年，全州耕地保有量稳定在9.8645万公顷，基本农田保护面积7.8916万公顷，建设用地规模3.4339万公顷。项目用地符合建设项目性质，土地利用不会突破区域土地资源上线。</w:t>
            </w:r>
          </w:p>
          <w:p>
            <w:pPr>
              <w:autoSpaceDE w:val="0"/>
              <w:autoSpaceDN w:val="0"/>
              <w:adjustRightInd w:val="0"/>
              <w:snapToGrid w:val="0"/>
              <w:spacing w:line="360" w:lineRule="auto"/>
              <w:ind w:firstLine="56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1.3.3</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能源利用上线</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2020年，能源消费总量控制在216万吨标准煤以内，非化石能源消费占能源消费总量比重达到51%。</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本项目用电由市政电网提供，生产用电有保障项目，不会达到供电量使用</w:t>
            </w:r>
            <w:r>
              <w:rPr>
                <w:rFonts w:hint="eastAsia" w:ascii="宋体" w:hAnsi="宋体" w:eastAsia="宋体" w:cs="宋体"/>
                <w:color w:val="auto"/>
                <w:sz w:val="24"/>
                <w:szCs w:val="24"/>
                <w:lang w:eastAsia="zh-CN"/>
              </w:rPr>
              <w:t>上限</w:t>
            </w:r>
            <w:r>
              <w:rPr>
                <w:rFonts w:hint="eastAsia" w:ascii="宋体" w:hAnsi="宋体" w:eastAsia="宋体" w:cs="宋体"/>
                <w:color w:val="auto"/>
                <w:sz w:val="24"/>
                <w:szCs w:val="24"/>
              </w:rPr>
              <w:t>。</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本项目运营过程中消耗一定量的电源、水资源等资源消耗，对区域资源利用总量相对较少，不会突破资源利用上线要求。</w:t>
            </w:r>
          </w:p>
          <w:p>
            <w:pPr>
              <w:autoSpaceDE w:val="0"/>
              <w:autoSpaceDN w:val="0"/>
              <w:adjustRightInd w:val="0"/>
              <w:snapToGrid w:val="0"/>
              <w:spacing w:line="360" w:lineRule="auto"/>
              <w:ind w:firstLine="482" w:firstLineChars="2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1.4</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环境准入负面清单</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本项目为四十九、卫生84108 专科疾病防（所、站）中的“其他”，对照《云南省国家重点生态功能区产业准入负面清单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第一批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试行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》，本项目不属于其中的限制类和禁止准入类。因此，本项目符合国家及地方的产业政策，不在环境负面清单内。</w:t>
            </w:r>
          </w:p>
          <w:p>
            <w:pPr>
              <w:autoSpaceDE w:val="0"/>
              <w:autoSpaceDN w:val="0"/>
              <w:adjustRightInd w:val="0"/>
              <w:snapToGrid w:val="0"/>
              <w:spacing w:line="360" w:lineRule="auto"/>
              <w:ind w:firstLine="482" w:firstLineChars="2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产业政策符合性分析</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根据《产业结构调整指导目录（</w:t>
            </w:r>
            <w:r>
              <w:rPr>
                <w:rFonts w:hint="eastAsia" w:ascii="宋体" w:hAnsi="宋体" w:cs="宋体"/>
                <w:color w:val="auto"/>
                <w:sz w:val="24"/>
                <w:szCs w:val="24"/>
                <w:lang w:val="en-US" w:eastAsia="zh-CN"/>
              </w:rPr>
              <w:t>2024</w:t>
            </w:r>
            <w:r>
              <w:rPr>
                <w:rFonts w:hint="eastAsia" w:ascii="宋体" w:hAnsi="宋体" w:eastAsia="宋体" w:cs="宋体"/>
                <w:color w:val="auto"/>
                <w:sz w:val="24"/>
                <w:szCs w:val="24"/>
              </w:rPr>
              <w:t>年本）》，本项目属于鼓励类中第三十七项“卫生健康”中的“</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、医疗服务设施建设”，因此，本项目符合产业政策要求，属于国家鼓励的建设项目。</w:t>
            </w:r>
          </w:p>
          <w:p>
            <w:pPr>
              <w:pStyle w:val="31"/>
              <w:spacing w:line="360" w:lineRule="auto"/>
              <w:ind w:firstLine="482" w:firstLineChars="200"/>
              <w:jc w:val="both"/>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1.6</w:t>
            </w:r>
            <w:r>
              <w:rPr>
                <w:rFonts w:hint="eastAsia" w:ascii="宋体" w:hAnsi="宋体" w:eastAsia="宋体" w:cs="宋体"/>
                <w:b/>
                <w:bCs/>
                <w:color w:val="auto"/>
                <w:kern w:val="2"/>
                <w:sz w:val="24"/>
                <w:szCs w:val="24"/>
                <w:lang w:val="en-US" w:eastAsia="zh-CN"/>
              </w:rPr>
              <w:t xml:space="preserve"> 项目</w:t>
            </w:r>
            <w:r>
              <w:rPr>
                <w:rFonts w:hint="eastAsia" w:ascii="宋体" w:hAnsi="宋体" w:eastAsia="宋体" w:cs="宋体"/>
                <w:b/>
                <w:bCs/>
                <w:color w:val="auto"/>
                <w:kern w:val="2"/>
                <w:sz w:val="24"/>
                <w:szCs w:val="24"/>
              </w:rPr>
              <w:t>与《云南省西双版纳傣族自治州环境保护条例》的符合性分析</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根据《云南省西双版纳傣族自治州环境保护条例》中的第二十八条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县（市）人民政府所在地的城镇建成区、重点旅游集镇，应当实行生活垃圾集中处理。旅游车、出租车、公交车等公共交通工具必须配备垃圾袋（桶）禁止在非指定地点堆放、弃置或焚烧垃圾。</w:t>
            </w:r>
          </w:p>
          <w:p>
            <w:pPr>
              <w:autoSpaceDE w:val="0"/>
              <w:autoSpaceDN w:val="0"/>
              <w:adjustRightInd w:val="0"/>
              <w:snapToGrid w:val="0"/>
              <w:spacing w:line="360" w:lineRule="auto"/>
              <w:ind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该项目生活垃圾经集中收集后交由环卫部门集中处置，其中医疗废物委托西双版纳金盛医疗废物处置中心处置，做到固废均能得到有效处置，最大程度减小对其周边的环境影响，体现和维护《云南省西双版纳傣族自治州环境保护条例》的目的和宗旨。</w:t>
            </w:r>
          </w:p>
          <w:p>
            <w:pPr>
              <w:pStyle w:val="31"/>
              <w:spacing w:line="360" w:lineRule="auto"/>
              <w:ind w:firstLine="482" w:firstLineChars="200"/>
              <w:jc w:val="both"/>
              <w:rPr>
                <w:rFonts w:hint="eastAsia" w:ascii="宋体" w:hAnsi="宋体" w:eastAsia="宋体" w:cs="宋体"/>
                <w:color w:val="auto"/>
                <w:kern w:val="2"/>
                <w:sz w:val="24"/>
                <w:szCs w:val="24"/>
              </w:rPr>
            </w:pPr>
            <w:r>
              <w:rPr>
                <w:rFonts w:hint="eastAsia" w:ascii="宋体" w:hAnsi="宋体" w:eastAsia="宋体" w:cs="宋体"/>
                <w:b/>
                <w:bCs/>
                <w:color w:val="auto"/>
                <w:kern w:val="2"/>
                <w:sz w:val="24"/>
                <w:szCs w:val="24"/>
                <w:lang w:val="en-US" w:eastAsia="zh-CN"/>
              </w:rPr>
              <w:t xml:space="preserve">1.7 </w:t>
            </w:r>
            <w:r>
              <w:rPr>
                <w:rFonts w:hint="eastAsia" w:ascii="宋体" w:hAnsi="宋体" w:eastAsia="宋体" w:cs="宋体"/>
                <w:b/>
                <w:bCs/>
                <w:color w:val="auto"/>
                <w:kern w:val="2"/>
                <w:sz w:val="24"/>
                <w:szCs w:val="24"/>
              </w:rPr>
              <w:t>项目与《云南省生态功能区划》符合性分析</w:t>
            </w:r>
          </w:p>
          <w:p>
            <w:pPr>
              <w:pStyle w:val="31"/>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根据《云南省生态功能区划》，项目属于《云南省生态功能区划》中的Ⅰ2-1南拉河、南朗河低山河谷农业生态功能区，存在的主要生态环境问题是土地利用不合理带来的景观破碎化和自然资源的破坏；生态环境敏感性为土壤侵蚀，生境高度敏感；主要生态服务功能为生态农业和以茶叶生产为主的生态经济林。保护措施与发展方向：合理利用土地资源、发展以热带经济作物为主的生态农业，保护农业环境、推行清洁生产，防止水土流失和面源污染。</w:t>
            </w:r>
          </w:p>
          <w:p>
            <w:pPr>
              <w:pStyle w:val="31"/>
              <w:spacing w:line="360" w:lineRule="auto"/>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本项目位于勐海县勐海镇佛双路35号，为医疗卫生用地</w:t>
            </w:r>
            <w:r>
              <w:rPr>
                <w:rFonts w:hint="eastAsia" w:cs="宋体"/>
                <w:color w:val="auto"/>
                <w:kern w:val="2"/>
                <w:sz w:val="24"/>
                <w:szCs w:val="24"/>
                <w:lang w:val="en-US" w:eastAsia="zh-CN"/>
              </w:rPr>
              <w:t>。项目使用原中医院用地，不新增占地。</w:t>
            </w:r>
            <w:r>
              <w:rPr>
                <w:rFonts w:hint="eastAsia" w:ascii="宋体" w:hAnsi="宋体" w:eastAsia="宋体" w:cs="宋体"/>
                <w:color w:val="auto"/>
                <w:kern w:val="0"/>
                <w:sz w:val="24"/>
                <w:szCs w:val="24"/>
                <w:highlight w:val="none"/>
                <w:lang w:val="en-US" w:eastAsia="zh-CN" w:bidi="ar"/>
              </w:rPr>
              <w:t xml:space="preserve">项目产生的废水，通过一套污水处理设施处理达《医疗机构水污染物排放标准》（GB18466-2005）表2中预处理标准及《污水排入城镇下水道水质标准》（GB/T31962-2015）表1中A级标准后排入勐海镇市镇污水管网。通过密闭加盖，喷洒除臭剂减少臭气排放。设备噪声经采取措施后，厂界噪声达标排放；固体废弃物均得到有效处置，处置效率 100%。 </w:t>
            </w:r>
            <w:r>
              <w:rPr>
                <w:rFonts w:hint="eastAsia" w:ascii="宋体" w:hAnsi="宋体" w:eastAsia="宋体" w:cs="宋体"/>
                <w:color w:val="auto"/>
                <w:kern w:val="2"/>
                <w:sz w:val="24"/>
                <w:szCs w:val="24"/>
              </w:rPr>
              <w:t>项目</w:t>
            </w:r>
            <w:r>
              <w:rPr>
                <w:rFonts w:hint="eastAsia" w:ascii="宋体" w:hAnsi="宋体" w:eastAsia="宋体" w:cs="宋体"/>
                <w:color w:val="auto"/>
                <w:kern w:val="2"/>
                <w:sz w:val="24"/>
                <w:szCs w:val="24"/>
                <w:lang w:val="en-US" w:eastAsia="zh-CN"/>
              </w:rPr>
              <w:t>污染物均采取了相应措施处理后</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eastAsia="zh-CN"/>
              </w:rPr>
              <w:t>减少</w:t>
            </w:r>
            <w:r>
              <w:rPr>
                <w:rFonts w:hint="eastAsia" w:ascii="宋体" w:hAnsi="宋体" w:eastAsia="宋体" w:cs="宋体"/>
                <w:color w:val="auto"/>
                <w:kern w:val="2"/>
                <w:sz w:val="24"/>
                <w:szCs w:val="24"/>
              </w:rPr>
              <w:t>了对环境的污染，</w:t>
            </w:r>
            <w:r>
              <w:rPr>
                <w:rFonts w:hint="eastAsia" w:ascii="宋体" w:hAnsi="宋体" w:eastAsia="宋体" w:cs="宋体"/>
                <w:color w:val="auto"/>
                <w:kern w:val="2"/>
                <w:sz w:val="24"/>
                <w:szCs w:val="24"/>
                <w:lang w:val="en-US" w:eastAsia="zh-CN"/>
              </w:rPr>
              <w:t>因此，项目建设符合《云南省生态功能区划》相关要求。</w:t>
            </w:r>
          </w:p>
          <w:p>
            <w:pPr>
              <w:pStyle w:val="31"/>
              <w:spacing w:line="360" w:lineRule="auto"/>
              <w:ind w:firstLine="482" w:firstLineChars="200"/>
              <w:jc w:val="both"/>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rPr>
              <w:t xml:space="preserve">1.8 </w:t>
            </w:r>
            <w:r>
              <w:rPr>
                <w:rFonts w:hint="eastAsia" w:ascii="宋体" w:hAnsi="宋体" w:eastAsia="宋体" w:cs="宋体"/>
                <w:b/>
                <w:bCs/>
                <w:color w:val="auto"/>
                <w:kern w:val="2"/>
                <w:sz w:val="24"/>
                <w:szCs w:val="24"/>
              </w:rPr>
              <w:t>项目与《云南省主体功能区规划》符合性分析</w:t>
            </w:r>
          </w:p>
          <w:p>
            <w:pPr>
              <w:pStyle w:val="31"/>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根据《云南省主体功能区划》及项目与区划图位置关系（见附图），项目位于西双版纳傣族自治州勐海县</w:t>
            </w:r>
            <w:r>
              <w:rPr>
                <w:rFonts w:hint="eastAsia" w:ascii="宋体" w:hAnsi="宋体" w:eastAsia="宋体" w:cs="宋体"/>
                <w:color w:val="auto"/>
                <w:kern w:val="2"/>
                <w:sz w:val="24"/>
                <w:szCs w:val="24"/>
                <w:lang w:val="en-US" w:eastAsia="zh-CN"/>
              </w:rPr>
              <w:t>勐海镇</w:t>
            </w:r>
            <w:r>
              <w:rPr>
                <w:rFonts w:hint="eastAsia" w:ascii="宋体" w:hAnsi="宋体" w:eastAsia="宋体" w:cs="宋体"/>
                <w:color w:val="auto"/>
                <w:kern w:val="2"/>
                <w:sz w:val="24"/>
                <w:szCs w:val="24"/>
              </w:rPr>
              <w:t>，不属于《云南省主体功能区规划》中的禁止开发区域，属于国家重点生态功能区，其开发和管制原则：①对各类开发活动进行严格管制，尽可能减少对自然生态系统的干扰，不得损害生态系统的稳定和完整性；②开发矿产资源、发展适宜产业和建设基础设施，都要控制在尽可能小的空间范围内，并做到林地、草地、湿地、水面等绿色生态空间面积不减少。</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color w:val="auto"/>
                <w:kern w:val="2"/>
                <w:sz w:val="24"/>
                <w:szCs w:val="24"/>
              </w:rPr>
              <w:t>本项目为基层医疗卫生服务，</w:t>
            </w:r>
            <w:r>
              <w:rPr>
                <w:rFonts w:hint="eastAsia" w:ascii="宋体" w:hAnsi="宋体" w:eastAsia="宋体" w:cs="宋体"/>
                <w:color w:val="auto"/>
                <w:kern w:val="0"/>
                <w:sz w:val="24"/>
                <w:szCs w:val="24"/>
                <w:highlight w:val="none"/>
                <w:lang w:val="en-US" w:eastAsia="zh-CN" w:bidi="ar"/>
              </w:rPr>
              <w:t xml:space="preserve">项目产生的废水，通过一套污水处理设施处理达《医疗机构水污染物排放标准》（GB18466-2005）表2中预处理标准及《污水排入城镇下水道水质标准》（GB/T31962-2015）表1中A级标准后排入勐海镇市镇污水管网。通过密闭加盖，喷洒除臭剂减少臭气排放。设备噪声经采取措施后，厂界噪声达标排放；固体废弃物均得到有效处置，处置效率 100%。 </w:t>
            </w:r>
            <w:r>
              <w:rPr>
                <w:rFonts w:hint="eastAsia" w:ascii="宋体" w:hAnsi="宋体" w:eastAsia="宋体" w:cs="宋体"/>
                <w:color w:val="auto"/>
                <w:kern w:val="2"/>
                <w:sz w:val="24"/>
                <w:szCs w:val="24"/>
              </w:rPr>
              <w:t>项目</w:t>
            </w:r>
            <w:r>
              <w:rPr>
                <w:rFonts w:hint="eastAsia" w:ascii="宋体" w:hAnsi="宋体" w:eastAsia="宋体" w:cs="宋体"/>
                <w:color w:val="auto"/>
                <w:kern w:val="2"/>
                <w:sz w:val="24"/>
                <w:szCs w:val="24"/>
                <w:lang w:val="en-US" w:eastAsia="zh-CN"/>
              </w:rPr>
              <w:t>污染物均采取了相应措施处理后</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eastAsia="zh-CN"/>
              </w:rPr>
              <w:t>减少</w:t>
            </w:r>
            <w:r>
              <w:rPr>
                <w:rFonts w:hint="eastAsia" w:ascii="宋体" w:hAnsi="宋体" w:eastAsia="宋体" w:cs="宋体"/>
                <w:color w:val="auto"/>
                <w:kern w:val="2"/>
                <w:sz w:val="24"/>
                <w:szCs w:val="24"/>
              </w:rPr>
              <w:t>了对环境的污染，不会损害生态系统的稳定和完整性。</w:t>
            </w:r>
            <w:r>
              <w:rPr>
                <w:rFonts w:hint="eastAsia" w:ascii="宋体" w:hAnsi="宋体" w:eastAsia="宋体" w:cs="宋体"/>
                <w:b w:val="0"/>
                <w:bCs/>
                <w:color w:val="auto"/>
                <w:kern w:val="0"/>
                <w:sz w:val="24"/>
                <w:szCs w:val="24"/>
                <w:highlight w:val="none"/>
                <w:lang w:val="en-US" w:eastAsia="zh-CN"/>
              </w:rPr>
              <w:t>同时项目不占用基本农田、公益林等，因此，项目的建设符合《云南省主体功能区规划》要求。</w:t>
            </w:r>
          </w:p>
          <w:p>
            <w:pPr>
              <w:spacing w:line="360" w:lineRule="auto"/>
              <w:ind w:firstLine="482" w:firstLineChars="200"/>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rPr>
              <w:t xml:space="preserve">1.9 </w:t>
            </w:r>
            <w:r>
              <w:rPr>
                <w:rFonts w:hint="eastAsia" w:ascii="宋体" w:hAnsi="宋体" w:eastAsia="宋体" w:cs="宋体"/>
                <w:b/>
                <w:bCs/>
                <w:color w:val="auto"/>
                <w:kern w:val="2"/>
                <w:sz w:val="24"/>
                <w:szCs w:val="24"/>
              </w:rPr>
              <w:t>项目与《云南省生物多样性保护战略与行动计划（2012</w:t>
            </w:r>
            <w:r>
              <w:rPr>
                <w:rFonts w:hint="eastAsia" w:ascii="宋体" w:hAnsi="宋体" w:eastAsia="宋体" w:cs="宋体"/>
                <w:b/>
                <w:bCs/>
                <w:color w:val="auto"/>
                <w:kern w:val="2"/>
                <w:sz w:val="24"/>
                <w:szCs w:val="24"/>
                <w:lang w:eastAsia="zh-CN"/>
              </w:rPr>
              <w:t>—</w:t>
            </w:r>
            <w:r>
              <w:rPr>
                <w:rFonts w:hint="eastAsia" w:ascii="宋体" w:hAnsi="宋体" w:eastAsia="宋体" w:cs="宋体"/>
                <w:b/>
                <w:bCs/>
                <w:color w:val="auto"/>
                <w:kern w:val="2"/>
                <w:sz w:val="24"/>
                <w:szCs w:val="24"/>
              </w:rPr>
              <w:t>2030年）》符合性分析</w:t>
            </w:r>
          </w:p>
          <w:p>
            <w:pPr>
              <w:spacing w:line="360" w:lineRule="auto"/>
              <w:ind w:firstLine="480" w:firstLineChars="20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根据《云南省生物多样性保护战略与行动计划（2012-2030 年）》，该计划结合云南生态系统类型的典型性、特有程度、特殊生态功能以及物种的丰富程度、珍稀濒危程度、受威胁因子、经济用途、科学研究价值等因素，提出了全省生物多样性保护的6个一级优先区域和18个二级优先区域，涉及16个州、市101个县、市、区，总面积约9.5万km</w:t>
            </w:r>
            <w:r>
              <w:rPr>
                <w:rFonts w:hint="eastAsia" w:ascii="宋体" w:hAnsi="宋体" w:eastAsia="宋体" w:cs="宋体"/>
                <w:bCs/>
                <w:color w:val="auto"/>
                <w:sz w:val="24"/>
                <w:szCs w:val="24"/>
                <w:vertAlign w:val="superscript"/>
                <w:lang w:val="en-US" w:eastAsia="zh-CN"/>
              </w:rPr>
              <w:t>2</w:t>
            </w:r>
            <w:r>
              <w:rPr>
                <w:rFonts w:hint="eastAsia" w:ascii="宋体" w:hAnsi="宋体" w:eastAsia="宋体" w:cs="宋体"/>
                <w:bCs/>
                <w:color w:val="auto"/>
                <w:sz w:val="24"/>
                <w:szCs w:val="24"/>
                <w:lang w:val="en-US" w:eastAsia="zh-CN"/>
              </w:rPr>
              <w:t>，并针对6个优先区域提出了9大保护优先领域和34项行动。计划到2030年，使全省的生物多样性得到切实保护。形成类型齐全、布局合理、功能完善、效益明显的自然保护地网络体系，其数量和面积达到合理水平，生态系统、物种和遗传多样性得到有效保护，各类生态系统良性循环。主要外来入侵生物基本得到控制，生物多样性得到根本性保护。</w:t>
            </w:r>
          </w:p>
          <w:p>
            <w:pPr>
              <w:spacing w:line="360" w:lineRule="auto"/>
              <w:ind w:firstLine="480" w:firstLineChars="200"/>
              <w:rPr>
                <w:rFonts w:hint="eastAsia" w:ascii="宋体" w:hAnsi="宋体" w:eastAsia="宋体" w:cs="宋体"/>
                <w:bCs/>
                <w:color w:val="auto"/>
                <w:sz w:val="24"/>
                <w:szCs w:val="24"/>
                <w:lang w:val="en-US" w:eastAsia="zh-CN"/>
              </w:rPr>
            </w:pPr>
            <w:r>
              <w:rPr>
                <w:rFonts w:hint="eastAsia" w:ascii="宋体" w:hAnsi="宋体" w:eastAsia="宋体" w:cs="宋体"/>
                <w:color w:val="auto"/>
                <w:kern w:val="2"/>
                <w:sz w:val="24"/>
                <w:szCs w:val="24"/>
              </w:rPr>
              <w:t>本项目位于勐海县</w:t>
            </w:r>
            <w:r>
              <w:rPr>
                <w:rFonts w:hint="eastAsia" w:ascii="宋体" w:hAnsi="宋体" w:eastAsia="宋体" w:cs="宋体"/>
                <w:color w:val="auto"/>
                <w:kern w:val="2"/>
                <w:sz w:val="24"/>
                <w:szCs w:val="24"/>
                <w:lang w:val="en-US" w:eastAsia="zh-CN"/>
              </w:rPr>
              <w:t>勐海镇</w:t>
            </w:r>
            <w:r>
              <w:rPr>
                <w:rFonts w:hint="eastAsia" w:ascii="宋体" w:hAnsi="宋体" w:eastAsia="宋体" w:cs="宋体"/>
                <w:color w:val="auto"/>
                <w:kern w:val="2"/>
                <w:sz w:val="24"/>
                <w:szCs w:val="24"/>
              </w:rPr>
              <w:t>，</w:t>
            </w:r>
            <w:r>
              <w:rPr>
                <w:rFonts w:hint="eastAsia" w:ascii="宋体" w:hAnsi="宋体" w:eastAsia="宋体" w:cs="宋体"/>
                <w:color w:val="auto"/>
                <w:sz w:val="24"/>
                <w:szCs w:val="24"/>
              </w:rPr>
              <w:t>根据“项目与云南省生物多样性保护优先区域</w:t>
            </w:r>
            <w:r>
              <w:rPr>
                <w:rFonts w:hint="eastAsia" w:ascii="宋体" w:hAnsi="宋体" w:eastAsia="宋体" w:cs="宋体"/>
                <w:color w:val="auto"/>
                <w:sz w:val="24"/>
                <w:szCs w:val="24"/>
                <w:lang w:val="en-US" w:eastAsia="zh-CN"/>
              </w:rPr>
              <w:t>位置</w:t>
            </w:r>
            <w:r>
              <w:rPr>
                <w:rFonts w:hint="eastAsia" w:ascii="宋体" w:hAnsi="宋体" w:eastAsia="宋体" w:cs="宋体"/>
                <w:color w:val="auto"/>
                <w:sz w:val="24"/>
                <w:szCs w:val="24"/>
              </w:rPr>
              <w:t>关系图”</w:t>
            </w:r>
            <w:r>
              <w:rPr>
                <w:rFonts w:hint="eastAsia" w:ascii="宋体" w:hAnsi="宋体" w:eastAsia="宋体" w:cs="宋体"/>
                <w:bCs/>
                <w:color w:val="auto"/>
                <w:sz w:val="24"/>
                <w:szCs w:val="24"/>
                <w:lang w:val="en-US" w:eastAsia="zh-CN"/>
              </w:rPr>
              <w:t>，项目不在云南生物多样性保护的6个优先区域范围和18个二级优先区域内，不会对划定的生物多样性保护优先区域造成不利影响。符合《云南省生物多样性保护战略与行动计划（2012—2030年）》的要求。</w:t>
            </w:r>
          </w:p>
          <w:p>
            <w:pPr>
              <w:widowControl/>
              <w:adjustRightInd w:val="0"/>
              <w:snapToGrid w:val="0"/>
              <w:spacing w:line="360" w:lineRule="auto"/>
              <w:ind w:firstLine="482" w:firstLineChars="200"/>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1.10 项目与《云南省长江经济带发展负面清单指南实施细则(试行，2022年版)》的符合性分析</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黑体" w:hAnsi="黑体" w:eastAsia="黑体" w:cs="黑体"/>
                <w:b w:val="0"/>
                <w:bCs w:val="0"/>
                <w:color w:val="auto"/>
                <w:sz w:val="21"/>
                <w:szCs w:val="21"/>
                <w:vertAlign w:val="baseline"/>
                <w:lang w:val="en-US" w:eastAsia="zh-CN"/>
              </w:rPr>
            </w:pPr>
            <w:r>
              <w:rPr>
                <w:rFonts w:hint="eastAsia" w:ascii="黑体" w:hAnsi="黑体" w:eastAsia="黑体" w:cs="黑体"/>
                <w:b w:val="0"/>
                <w:bCs w:val="0"/>
                <w:color w:val="auto"/>
                <w:sz w:val="21"/>
                <w:szCs w:val="21"/>
                <w:lang w:val="en-US" w:eastAsia="zh-CN"/>
              </w:rPr>
              <w:t>表1-3  项目与《云南省长江经济带发展负面清单指南实施细则(试行，2022年版)》符合性</w:t>
            </w:r>
          </w:p>
          <w:tbl>
            <w:tblPr>
              <w:tblStyle w:val="27"/>
              <w:tblW w:w="6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3888"/>
              <w:gridCol w:w="1627"/>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486" w:type="dxa"/>
                  <w:tcBorders>
                    <w:tl2br w:val="nil"/>
                    <w:tr2bl w:val="nil"/>
                  </w:tcBorders>
                  <w:shd w:val="clear" w:color="auto" w:fill="auto"/>
                  <w:vAlign w:val="center"/>
                </w:tcPr>
                <w:p>
                  <w:pPr>
                    <w:spacing w:line="240" w:lineRule="auto"/>
                    <w:ind w:firstLine="0" w:firstLineChars="0"/>
                    <w:jc w:val="center"/>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序号</w:t>
                  </w:r>
                </w:p>
              </w:tc>
              <w:tc>
                <w:tcPr>
                  <w:tcW w:w="3888" w:type="dxa"/>
                  <w:tcBorders>
                    <w:tl2br w:val="nil"/>
                    <w:tr2bl w:val="nil"/>
                  </w:tcBorders>
                  <w:shd w:val="clear" w:color="auto" w:fill="auto"/>
                  <w:vAlign w:val="center"/>
                </w:tcPr>
                <w:p>
                  <w:pPr>
                    <w:spacing w:line="240" w:lineRule="auto"/>
                    <w:ind w:firstLine="0" w:firstLineChars="0"/>
                    <w:jc w:val="center"/>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《云南省长江经济带发展负面清单指南实施细则》相关</w:t>
                  </w:r>
                  <w:r>
                    <w:rPr>
                      <w:rFonts w:hint="eastAsia" w:ascii="宋体" w:hAnsi="宋体" w:eastAsia="宋体" w:cs="宋体"/>
                      <w:b/>
                      <w:bCs/>
                      <w:color w:val="auto"/>
                      <w:sz w:val="21"/>
                      <w:szCs w:val="21"/>
                      <w:lang w:val="en-US" w:eastAsia="zh-CN"/>
                    </w:rPr>
                    <w:t>要求</w:t>
                  </w:r>
                </w:p>
              </w:tc>
              <w:tc>
                <w:tcPr>
                  <w:tcW w:w="1627" w:type="dxa"/>
                  <w:tcBorders>
                    <w:tl2br w:val="nil"/>
                    <w:tr2bl w:val="nil"/>
                  </w:tcBorders>
                  <w:shd w:val="clear" w:color="auto" w:fill="auto"/>
                  <w:vAlign w:val="center"/>
                </w:tcPr>
                <w:p>
                  <w:pPr>
                    <w:spacing w:line="240" w:lineRule="auto"/>
                    <w:ind w:firstLine="0" w:firstLineChars="0"/>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本项目</w:t>
                  </w:r>
                  <w:r>
                    <w:rPr>
                      <w:rFonts w:hint="eastAsia" w:ascii="宋体" w:hAnsi="宋体" w:cs="宋体"/>
                      <w:b/>
                      <w:bCs/>
                      <w:color w:val="auto"/>
                      <w:sz w:val="21"/>
                      <w:szCs w:val="21"/>
                      <w:lang w:val="en-US" w:eastAsia="zh-CN"/>
                    </w:rPr>
                    <w:t>情况</w:t>
                  </w:r>
                </w:p>
              </w:tc>
              <w:tc>
                <w:tcPr>
                  <w:tcW w:w="936" w:type="dxa"/>
                  <w:tcBorders>
                    <w:tl2br w:val="nil"/>
                    <w:tr2bl w:val="nil"/>
                  </w:tcBorders>
                  <w:shd w:val="clear" w:color="auto" w:fill="auto"/>
                  <w:vAlign w:val="center"/>
                </w:tcPr>
                <w:p>
                  <w:pPr>
                    <w:spacing w:line="240" w:lineRule="auto"/>
                    <w:ind w:firstLine="0" w:firstLine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48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3888"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二、禁止在生态保护红线范围内投资建设项目，生态保护红线内、自然保护地核心保护区原则上禁止人为活动;其他区域严格禁止开发性、生产性建设活动。除国家重大战略资源勘查项目、生态保护修复和环境治理项目、重大基础设施项目、军事国防项目以及农牧民基本生产生活等必要的民生项目以外的项目。生态保护红线原则上按禁止开发区域的要求进行管理外，仅允许对生态功能不造成破坏的有限人为活动。</w:t>
                  </w:r>
                </w:p>
              </w:tc>
              <w:tc>
                <w:tcPr>
                  <w:tcW w:w="1627" w:type="dxa"/>
                  <w:tcBorders>
                    <w:tl2br w:val="nil"/>
                    <w:tr2bl w:val="nil"/>
                  </w:tcBorders>
                  <w:vAlign w:val="center"/>
                </w:tcPr>
                <w:p>
                  <w:pPr>
                    <w:spacing w:line="240" w:lineRule="auto"/>
                    <w:ind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根据三区三线查询文件，本项目不占用生态红线</w:t>
                  </w:r>
                </w:p>
              </w:tc>
              <w:tc>
                <w:tcPr>
                  <w:tcW w:w="93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9" w:hRule="atLeast"/>
              </w:trPr>
              <w:tc>
                <w:tcPr>
                  <w:tcW w:w="48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p>
              </w:tc>
              <w:tc>
                <w:tcPr>
                  <w:tcW w:w="3888"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三、禁止在自然保护区内进行砍伐、放牧、狩猎、捕捞、采药、开垦、烧荒、开矿、采石、挖沙等活动;禁止任何人进入自然保护区的核心区;禁止在自然保护区的缓冲区开展旅游和生产经营活动;严禁开设与自然保护区保护方向不一致的参观、旅游项目;在自然保护区的实验区内，不得建设污染环境、破坏资源或者景观的生产设施;自然保护区核心区，严禁任何生产经营活动;新建公路、铁路和其他基础设施不得穿越自然保护区核心区，尽量避免穿越缓冲区;禁止在自然保护区的核心区和缓冲区内建设畜禽养殖场、养殖小区。</w:t>
                  </w:r>
                </w:p>
              </w:tc>
              <w:tc>
                <w:tcPr>
                  <w:tcW w:w="1627" w:type="dxa"/>
                  <w:tcBorders>
                    <w:tl2br w:val="nil"/>
                    <w:tr2bl w:val="nil"/>
                  </w:tcBorders>
                  <w:vAlign w:val="center"/>
                </w:tcPr>
                <w:p>
                  <w:pPr>
                    <w:spacing w:line="240" w:lineRule="auto"/>
                    <w:ind w:firstLine="0" w:firstLineChars="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本项目位于勐海县勐海镇内，不在</w:t>
                  </w:r>
                  <w:r>
                    <w:rPr>
                      <w:rFonts w:hint="eastAsia" w:ascii="宋体" w:hAnsi="宋体" w:cs="宋体"/>
                      <w:color w:val="auto"/>
                      <w:sz w:val="21"/>
                      <w:szCs w:val="21"/>
                      <w:lang w:val="en-US" w:eastAsia="zh-CN"/>
                    </w:rPr>
                    <w:t>涉及自然保护区</w:t>
                  </w:r>
                </w:p>
              </w:tc>
              <w:tc>
                <w:tcPr>
                  <w:tcW w:w="93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4" w:hRule="atLeast"/>
              </w:trPr>
              <w:tc>
                <w:tcPr>
                  <w:tcW w:w="48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p>
              </w:tc>
              <w:tc>
                <w:tcPr>
                  <w:tcW w:w="3888"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四、禁止在风景名胜区内进行开山、采石、开矿、开荒、修坟立碑等破坏景观、植被和地形地貌的活动以及修建储存爆炸性、易燃性、放射性、毒害性、腐蚀性物品的设施;禁止违反风景名胜区规划，在风景名胜区内设立各类开发区和在核心景区内建设宾馆、招待所、培训中心、疗养院以及与风景名胜资源保护无关的其他建筑物;禁止在风景名胜区从事与风景名胜资源无关的生产建设活动;风景名胜区内的水源、水体应当严加保护，禁止污染水源、水体，禁止擅自围、填、堵塞水面和围湖造田等;禁止在风景名胜区内建设畜禽养殖场、养殖小区。</w:t>
                  </w:r>
                </w:p>
              </w:tc>
              <w:tc>
                <w:tcPr>
                  <w:tcW w:w="1627"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项目位于勐海县勐海镇内，未涉及</w:t>
                  </w:r>
                  <w:r>
                    <w:rPr>
                      <w:rFonts w:hint="eastAsia" w:ascii="宋体" w:hAnsi="宋体" w:cs="宋体"/>
                      <w:color w:val="auto"/>
                      <w:sz w:val="21"/>
                      <w:szCs w:val="21"/>
                      <w:lang w:val="en-US" w:eastAsia="zh-CN"/>
                    </w:rPr>
                    <w:t>风景名胜区</w:t>
                  </w:r>
                  <w:r>
                    <w:rPr>
                      <w:rFonts w:hint="eastAsia" w:ascii="宋体" w:hAnsi="宋体" w:eastAsia="宋体" w:cs="宋体"/>
                      <w:color w:val="auto"/>
                      <w:sz w:val="21"/>
                      <w:szCs w:val="21"/>
                      <w:lang w:val="en-US" w:eastAsia="zh-CN"/>
                    </w:rPr>
                    <w:t>。</w:t>
                  </w:r>
                </w:p>
              </w:tc>
              <w:tc>
                <w:tcPr>
                  <w:tcW w:w="93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1" w:hRule="atLeast"/>
              </w:trPr>
              <w:tc>
                <w:tcPr>
                  <w:tcW w:w="48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p>
              </w:tc>
              <w:tc>
                <w:tcPr>
                  <w:tcW w:w="3888"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六、禁止在饮用水水源一级保护区内新建、改建、扩建与供水设施和保护水源无关的建设项目;禁止在饮用水水源一级保护区内从事网箱养殖、旅游、游泳、垂钓或者其他可能污染饮用水水体的活动。禁止在饮用水水源二级保护区内新建、改建、扩建排放污染物的建设项目;在饮用水水源二级保护区内从事网箱养殖、旅游等活动的，应当按照规定采取措施，防止污染饮用水水体。</w:t>
                  </w:r>
                </w:p>
              </w:tc>
              <w:tc>
                <w:tcPr>
                  <w:tcW w:w="1627"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项目用地不涉及饮用水水源地。</w:t>
                  </w:r>
                </w:p>
              </w:tc>
              <w:tc>
                <w:tcPr>
                  <w:tcW w:w="93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1" w:hRule="atLeast"/>
              </w:trPr>
              <w:tc>
                <w:tcPr>
                  <w:tcW w:w="486" w:type="dxa"/>
                  <w:tcBorders>
                    <w:tl2br w:val="nil"/>
                    <w:tr2bl w:val="nil"/>
                  </w:tcBorders>
                  <w:vAlign w:val="center"/>
                </w:tcPr>
                <w:p>
                  <w:pPr>
                    <w:spacing w:line="240" w:lineRule="auto"/>
                    <w:ind w:firstLine="0" w:firstLine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3888" w:type="dxa"/>
                  <w:tcBorders>
                    <w:tl2br w:val="nil"/>
                    <w:tr2bl w:val="nil"/>
                  </w:tcBorders>
                  <w:vAlign w:val="center"/>
                </w:tcPr>
                <w:p>
                  <w:pPr>
                    <w:spacing w:line="240" w:lineRule="auto"/>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八、禁止在《全国重要江河湖泊水功能区划》划定的河段及湖泊保护区、保留区内投资建设不利于水资源及自然生态保护的项目。禁止在金沙江、长江一级支流建设除党中央、国务院、国家投资主管部门、省级有关部门批复同意以外的过江基础设施项目;禁止未经许可在长江流域、九大高原湖泊流域新设、改设或扩大排污口，除入河(海)排污口命名与编码规则(HJ1235-2021）规定的第四类“其他排口”外。禁止在水产种质资源保护区内新建排污口，以及从事围湖造田、围湖造地或围填海工程。</w:t>
                  </w:r>
                </w:p>
              </w:tc>
              <w:tc>
                <w:tcPr>
                  <w:tcW w:w="1627" w:type="dxa"/>
                  <w:tcBorders>
                    <w:tl2br w:val="nil"/>
                    <w:tr2bl w:val="nil"/>
                  </w:tcBorders>
                  <w:vAlign w:val="center"/>
                </w:tcPr>
                <w:p>
                  <w:pPr>
                    <w:spacing w:line="240" w:lineRule="auto"/>
                    <w:ind w:firstLine="0" w:firstLineChars="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项目位于勐海县勐海镇内，不涉及</w:t>
                  </w:r>
                  <w:r>
                    <w:rPr>
                      <w:rFonts w:hint="eastAsia" w:ascii="宋体" w:hAnsi="宋体" w:eastAsia="宋体" w:cs="宋体"/>
                      <w:color w:val="auto"/>
                      <w:sz w:val="21"/>
                      <w:szCs w:val="21"/>
                    </w:rPr>
                    <w:t>《全国重要江河湖泊水功能区划》划定的河段及湖泊保护区、保留区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项目废水处理达标后排入市政污水管网，不新建排污口。</w:t>
                  </w:r>
                </w:p>
              </w:tc>
              <w:tc>
                <w:tcPr>
                  <w:tcW w:w="93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trPr>
              <w:tc>
                <w:tcPr>
                  <w:tcW w:w="48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6</w:t>
                  </w:r>
                </w:p>
              </w:tc>
              <w:tc>
                <w:tcPr>
                  <w:tcW w:w="3888"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十二、禁止在合规园区外新建、扩建钢铁、石化、化工、焦化、建材、有色、制浆造纸等高污染项目。禁止新增钢铁、水泥、平板玻璃等行业建设产能，确有必要建设的，应按规定实施产能等量或减量置换。</w:t>
                  </w:r>
                </w:p>
              </w:tc>
              <w:tc>
                <w:tcPr>
                  <w:tcW w:w="1627"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本项目</w:t>
                  </w:r>
                  <w:r>
                    <w:rPr>
                      <w:rFonts w:hint="eastAsia" w:ascii="宋体" w:hAnsi="宋体" w:cs="宋体"/>
                      <w:color w:val="auto"/>
                      <w:sz w:val="21"/>
                      <w:szCs w:val="21"/>
                      <w:lang w:val="en-US" w:eastAsia="zh-CN"/>
                    </w:rPr>
                    <w:t>为基础医疗服务项目，不属于</w:t>
                  </w:r>
                  <w:r>
                    <w:rPr>
                      <w:rFonts w:hint="eastAsia" w:ascii="宋体" w:hAnsi="宋体" w:eastAsia="宋体" w:cs="宋体"/>
                      <w:color w:val="auto"/>
                      <w:sz w:val="21"/>
                      <w:szCs w:val="21"/>
                    </w:rPr>
                    <w:t>钢铁、石化、化工、焦化、建材、有色、制浆造纸等高污染项目</w:t>
                  </w:r>
                  <w:r>
                    <w:rPr>
                      <w:rFonts w:hint="eastAsia" w:ascii="宋体" w:hAnsi="宋体" w:eastAsia="宋体" w:cs="宋体"/>
                      <w:color w:val="auto"/>
                      <w:sz w:val="21"/>
                      <w:szCs w:val="21"/>
                      <w:lang w:eastAsia="zh-CN"/>
                    </w:rPr>
                    <w:t>。</w:t>
                  </w:r>
                </w:p>
              </w:tc>
              <w:tc>
                <w:tcPr>
                  <w:tcW w:w="93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486" w:type="dxa"/>
                  <w:tcBorders>
                    <w:tl2br w:val="nil"/>
                    <w:tr2bl w:val="nil"/>
                  </w:tcBorders>
                  <w:vAlign w:val="center"/>
                </w:tcPr>
                <w:p>
                  <w:pPr>
                    <w:spacing w:line="240" w:lineRule="auto"/>
                    <w:ind w:firstLine="0" w:firstLine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7</w:t>
                  </w:r>
                </w:p>
              </w:tc>
              <w:tc>
                <w:tcPr>
                  <w:tcW w:w="3888" w:type="dxa"/>
                  <w:tcBorders>
                    <w:tl2br w:val="nil"/>
                    <w:tr2bl w:val="nil"/>
                  </w:tcBorders>
                  <w:vAlign w:val="center"/>
                </w:tcPr>
                <w:p>
                  <w:pPr>
                    <w:spacing w:line="240" w:lineRule="auto"/>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十四、禁止新建、扩建法律法规和相关政策明令禁止的落后产能项目，依法依规淘汰不符合要求的电石炉及开放式电石炉、无化产回收的单一炼焦生产设施，依法依规淘汰不符合要求的硫铁矿制酸、硫磺制酸、黄磷生产、有钙焙烧铬化合物生产装置和有机—无机复混肥料、过磷酸钙和钙镁磷肥生产线。禁止新建、扩建不符合国家产能置换要求的严重过剩产能行业的项目。</w:t>
                  </w:r>
                </w:p>
              </w:tc>
              <w:tc>
                <w:tcPr>
                  <w:tcW w:w="1627" w:type="dxa"/>
                  <w:tcBorders>
                    <w:tl2br w:val="nil"/>
                    <w:tr2bl w:val="nil"/>
                  </w:tcBorders>
                  <w:vAlign w:val="center"/>
                </w:tcPr>
                <w:p>
                  <w:pPr>
                    <w:spacing w:line="240" w:lineRule="auto"/>
                    <w:ind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w:t>
                  </w:r>
                  <w:r>
                    <w:rPr>
                      <w:rFonts w:hint="eastAsia" w:ascii="宋体" w:hAnsi="宋体" w:cs="宋体"/>
                      <w:color w:val="auto"/>
                      <w:sz w:val="21"/>
                      <w:szCs w:val="21"/>
                      <w:lang w:val="en-US" w:eastAsia="zh-CN"/>
                    </w:rPr>
                    <w:t>不属于命令禁止的落后产能项目</w:t>
                  </w:r>
                </w:p>
              </w:tc>
              <w:tc>
                <w:tcPr>
                  <w:tcW w:w="936" w:type="dxa"/>
                  <w:tcBorders>
                    <w:tl2br w:val="nil"/>
                    <w:tr2bl w:val="nil"/>
                  </w:tcBorders>
                  <w:vAlign w:val="center"/>
                </w:tcPr>
                <w:p>
                  <w:pPr>
                    <w:spacing w:line="240" w:lineRule="auto"/>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bl>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根据表1-3分析结果，本项目与《云南省长江经济带发展负面清单指南实施细则(试行，2022年版)》文件相符合。</w:t>
            </w:r>
          </w:p>
          <w:p>
            <w:pPr>
              <w:autoSpaceDE w:val="0"/>
              <w:autoSpaceDN w:val="0"/>
              <w:spacing w:line="360" w:lineRule="auto"/>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1.11《云南省生物多样性保护条例》相符性分析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《云南省生物多样性保护条例》旨在保护生物多样性，保障生态安全，由云南省第十三届人大常务委员会第五次会议于2018年9月21日审议通过并公布，共七章四十条 ，自2019年1月1日起施行。其中《条例》第四条、第二十九条对企业提出了要求，第四条要求“企业事业单位和其他生产经营者应当采取资源利用效率高、对生物多样性影响小的绿色生产方式，防止、减少对生物多样性的破坏，对生物多样性所造成的损害依法承担责任。”；第二十九条要求“新建、改建、扩建建设项目以及开发自然资源，应当依法开展环境影响评价。对可能造成重要生态系统破坏、损害重要物种及其栖息地和生境的，应当制定专项保护、恢复和补偿方案，纳入环境影响评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本项目为基层医疗卫生服务项目，位于西双版纳州勐海县勐海镇佛双路35号，项目区不涉及国家级和省级自然保护区、风景名胜区、饮用水源保护区、重要生态系统、重要物种栖息地等环境敏感区和特殊功能生态区，对照《云南省生物多样性保护战略与行动计划（2012-2030）》，不属于云南省划定的生物多样性优先区域范围内，不会造成重要生态系统和重要物种栖息地的破坏；项目产生的废水，通过一套污水处理设施处理达《医疗机构水污染物排放标准》（GB18466-2005）表2中预处理标准及《污水排入城镇下水道水质标准》（GB/T31962-2015）表1中A级标准后排入勐海镇市镇污水管网。通过密闭加盖，喷洒除臭剂减少臭气排放。设备噪声经采取措施后，厂界噪声达标排放；固体废弃物均得到有效处置，处置效率 100%。项目采取的生产方式属于资源利用效率高、对生物多样性影响小的绿色生产方式。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highlight w:val="none"/>
                <w:lang w:val="en-US" w:eastAsia="zh-CN" w:bidi="ar"/>
              </w:rPr>
              <w:t>综上所述，项目符合《云南省生物多样性保护条例》要求。</w:t>
            </w:r>
          </w:p>
          <w:p>
            <w:pPr>
              <w:autoSpaceDE w:val="0"/>
              <w:autoSpaceDN w:val="0"/>
              <w:spacing w:line="360" w:lineRule="auto"/>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1.12 项目与《西双版纳傣族自治州“十四五”生态建设与环境保护规划》相符性分析。</w:t>
            </w:r>
          </w:p>
          <w:p>
            <w:pPr>
              <w:spacing w:line="360" w:lineRule="auto"/>
              <w:jc w:val="center"/>
              <w:rPr>
                <w:rFonts w:hint="eastAsia" w:ascii="黑体" w:hAnsi="黑体" w:eastAsia="黑体" w:cs="黑体"/>
                <w:b w:val="0"/>
                <w:bCs/>
                <w:color w:val="auto"/>
                <w:kern w:val="24"/>
                <w:sz w:val="21"/>
                <w:szCs w:val="21"/>
                <w:lang w:val="en-US" w:eastAsia="zh-CN"/>
              </w:rPr>
            </w:pPr>
            <w:r>
              <w:rPr>
                <w:rFonts w:hint="eastAsia" w:ascii="黑体" w:hAnsi="黑体" w:eastAsia="黑体" w:cs="黑体"/>
                <w:b w:val="0"/>
                <w:bCs/>
                <w:color w:val="auto"/>
                <w:kern w:val="24"/>
                <w:sz w:val="21"/>
                <w:szCs w:val="21"/>
                <w:lang w:val="en-US" w:eastAsia="zh-CN"/>
              </w:rPr>
              <w:t>表1-4本项目与《西双版纳傣族自治州“十四五”生态建设与环境保护规划》</w:t>
            </w:r>
          </w:p>
          <w:tbl>
            <w:tblPr>
              <w:tblStyle w:val="27"/>
              <w:tblW w:w="6912"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3781"/>
              <w:gridCol w:w="1881"/>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385" w:type="dxa"/>
                  <w:shd w:val="clear" w:color="auto" w:fill="auto"/>
                  <w:vAlign w:val="center"/>
                </w:tcPr>
                <w:p>
                  <w:pPr>
                    <w:spacing w:line="240" w:lineRule="auto"/>
                    <w:jc w:val="center"/>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序号</w:t>
                  </w:r>
                </w:p>
              </w:tc>
              <w:tc>
                <w:tcPr>
                  <w:tcW w:w="3781" w:type="dxa"/>
                  <w:shd w:val="clear" w:color="auto" w:fill="auto"/>
                  <w:vAlign w:val="center"/>
                </w:tcPr>
                <w:p>
                  <w:pPr>
                    <w:spacing w:line="240" w:lineRule="auto"/>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《西双版纳傣族自治州“十四五”生态建设与环境保护规划》</w:t>
                  </w:r>
                  <w:r>
                    <w:rPr>
                      <w:rFonts w:hint="eastAsia" w:ascii="宋体" w:hAnsi="宋体" w:cs="宋体"/>
                      <w:b/>
                      <w:bCs/>
                      <w:color w:val="auto"/>
                      <w:sz w:val="21"/>
                      <w:szCs w:val="21"/>
                      <w:lang w:val="en-US" w:eastAsia="zh-CN"/>
                    </w:rPr>
                    <w:t>要求</w:t>
                  </w:r>
                </w:p>
              </w:tc>
              <w:tc>
                <w:tcPr>
                  <w:tcW w:w="1881" w:type="dxa"/>
                  <w:shd w:val="clear" w:color="auto" w:fill="auto"/>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本</w:t>
                  </w:r>
                  <w:r>
                    <w:rPr>
                      <w:rFonts w:hint="eastAsia" w:ascii="宋体" w:hAnsi="宋体" w:eastAsia="宋体" w:cs="宋体"/>
                      <w:b/>
                      <w:bCs/>
                      <w:color w:val="auto"/>
                      <w:sz w:val="21"/>
                      <w:szCs w:val="21"/>
                      <w:lang w:val="en-US" w:eastAsia="zh-CN"/>
                    </w:rPr>
                    <w:t>项目情况</w:t>
                  </w:r>
                </w:p>
              </w:tc>
              <w:tc>
                <w:tcPr>
                  <w:tcW w:w="865" w:type="dxa"/>
                  <w:shd w:val="clear" w:color="auto" w:fill="auto"/>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trPr>
              <w:tc>
                <w:tcPr>
                  <w:tcW w:w="385" w:type="dxa"/>
                  <w:vAlign w:val="center"/>
                </w:tcPr>
                <w:p>
                  <w:pPr>
                    <w:spacing w:line="240" w:lineRule="auto"/>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3781" w:type="dxa"/>
                  <w:vAlign w:val="center"/>
                </w:tcPr>
                <w:p>
                  <w:pPr>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加大垃圾、秸秆焚烧监管力度。加大城区和城郊结合部的巡查力度，对露天焚烧垃圾、沥青、塑料、枯枝落叶等行为依法严肃查处。</w:t>
                  </w:r>
                </w:p>
              </w:tc>
              <w:tc>
                <w:tcPr>
                  <w:tcW w:w="1881" w:type="dxa"/>
                  <w:vAlign w:val="center"/>
                </w:tcPr>
                <w:p>
                  <w:pPr>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本项目为医疗卫生项目，项目生活垃圾收集后委托环卫部门处置，医疗废物委托西双版纳金盛医疗废物转运中心转运；固废能得到有效处置。</w:t>
                  </w:r>
                </w:p>
              </w:tc>
              <w:tc>
                <w:tcPr>
                  <w:tcW w:w="865"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385" w:type="dxa"/>
                  <w:vAlign w:val="center"/>
                </w:tcPr>
                <w:p>
                  <w:pPr>
                    <w:spacing w:line="240" w:lineRule="auto"/>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p>
              </w:tc>
              <w:tc>
                <w:tcPr>
                  <w:tcW w:w="3781" w:type="dxa"/>
                  <w:vAlign w:val="center"/>
                </w:tcPr>
                <w:p>
                  <w:pPr>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立地下水环境监测体系。根据国家有关地下水环境监测网建设要求，围绕“双源”保护和治理需要，衔接国家地下水监测工程，整合建设项目环评要求设置的地下水污染跟踪监测井、地下水型饮用水源开采井、重点行业企业用地调查监测井、地下水基础环境状况调查评估监测井、土壤污染重点监管企业地下水污染监测井、《中华人民共和国水污染防治法》要求的污染源地下水水质监测井等，制定并实施地下水环境监测网建设方案。</w:t>
                  </w:r>
                </w:p>
              </w:tc>
              <w:tc>
                <w:tcPr>
                  <w:tcW w:w="1881" w:type="dxa"/>
                  <w:vAlign w:val="center"/>
                </w:tcPr>
                <w:p>
                  <w:pPr>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项目为医疗卫生项目，运营期医务人员生活废水及医疗废水一起进入化粪池处理后，再一起排入污水处理站处理达标后排入市政污水管网，地下水污染风险小。</w:t>
                  </w:r>
                </w:p>
              </w:tc>
              <w:tc>
                <w:tcPr>
                  <w:tcW w:w="865"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trPr>
              <w:tc>
                <w:tcPr>
                  <w:tcW w:w="385" w:type="dxa"/>
                  <w:vAlign w:val="center"/>
                </w:tcPr>
                <w:p>
                  <w:pPr>
                    <w:spacing w:line="240" w:lineRule="auto"/>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p>
              </w:tc>
              <w:tc>
                <w:tcPr>
                  <w:tcW w:w="3781" w:type="dxa"/>
                  <w:vAlign w:val="center"/>
                </w:tcPr>
                <w:p>
                  <w:pPr>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狠抓工业污染防治。推动重点行业、重点区域绿色发展，指导地方制定差别化的流域性环境标准和管控要求。依法取缔不符合国家产业政策的小型严重污染水生态环境的建设项目。专项整治重点行业，对橡胶加工、非煤矿山、医疗机构行业开展污染专项整治工作，特别是针对性地开展橡胶加工总磷、总氮消减工程。加强工业聚集区污染治理，积极督促河流沿岸的工业企业落实水污染防治措施，进一步加强对企业的排污监管力度，确保水污染达标排放。</w:t>
                  </w:r>
                </w:p>
              </w:tc>
              <w:tc>
                <w:tcPr>
                  <w:tcW w:w="1881" w:type="dxa"/>
                  <w:vAlign w:val="center"/>
                </w:tcPr>
                <w:p>
                  <w:pPr>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项目为医疗卫生项目，运营期医务人员生活废水及医疗废水一起进入化粪池处理后，再一起排入污水处理站处理达标后排入市政污水管网.符合国家产业政策，不属于重污染建设项目，污水能达标排放。</w:t>
                  </w:r>
                </w:p>
              </w:tc>
              <w:tc>
                <w:tcPr>
                  <w:tcW w:w="865"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trPr>
              <w:tc>
                <w:tcPr>
                  <w:tcW w:w="385" w:type="dxa"/>
                  <w:vAlign w:val="center"/>
                </w:tcPr>
                <w:p>
                  <w:pPr>
                    <w:spacing w:line="240" w:lineRule="auto"/>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p>
              </w:tc>
              <w:tc>
                <w:tcPr>
                  <w:tcW w:w="3781" w:type="dxa"/>
                  <w:vAlign w:val="center"/>
                </w:tcPr>
                <w:p>
                  <w:pPr>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强化危险废物医疗废物风险管控。建立危险废物信息化监管体系，推进危险废物转移运输全过程定位跟踪监控，推动危险废物转移电子联单和电子运单无缝对接，实时共享危险废物产生、运输和利用处置信息，切实提高危险废物利用处置设施运营管理水平。</w:t>
                  </w:r>
                </w:p>
              </w:tc>
              <w:tc>
                <w:tcPr>
                  <w:tcW w:w="1881" w:type="dxa"/>
                  <w:vAlign w:val="center"/>
                </w:tcPr>
                <w:p>
                  <w:pPr>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本项目产生的医疗废物，暂存医疗废物暂存间，交由西双版纳金盛医疗废物转运中心进行处置，严格执行医疗废物转移联单制度；生活垃圾委托当地环卫部门定期清理。</w:t>
                  </w:r>
                </w:p>
              </w:tc>
              <w:tc>
                <w:tcPr>
                  <w:tcW w:w="865" w:type="dxa"/>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bl>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根据表1-</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分析结果，本项目与《西双版纳傣族自治州“十四五”生态建设与环境保护规划》文件相符合。</w:t>
            </w:r>
          </w:p>
          <w:p>
            <w:pPr>
              <w:autoSpaceDE w:val="0"/>
              <w:autoSpaceDN w:val="0"/>
              <w:spacing w:line="360" w:lineRule="auto"/>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1.13项目与《云南省“十四五”生态环境保护规划》符合性分析</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本项目与《云南省“十四五”生态环境保护规划》相符性分析见表1-</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p>
          <w:p>
            <w:pPr>
              <w:spacing w:line="240" w:lineRule="auto"/>
              <w:jc w:val="center"/>
              <w:rPr>
                <w:rFonts w:hint="eastAsia" w:ascii="宋体" w:hAnsi="宋体" w:eastAsia="宋体" w:cs="宋体"/>
                <w:b/>
                <w:color w:val="auto"/>
                <w:kern w:val="24"/>
                <w:sz w:val="24"/>
                <w:szCs w:val="24"/>
                <w:lang w:val="en-US" w:eastAsia="zh-CN"/>
              </w:rPr>
            </w:pPr>
            <w:r>
              <w:rPr>
                <w:rFonts w:hint="eastAsia" w:ascii="黑体" w:hAnsi="黑体" w:eastAsia="黑体" w:cs="黑体"/>
                <w:b w:val="0"/>
                <w:bCs/>
                <w:color w:val="auto"/>
                <w:kern w:val="24"/>
                <w:sz w:val="21"/>
                <w:szCs w:val="21"/>
                <w:lang w:val="en-US" w:eastAsia="zh-CN"/>
              </w:rPr>
              <w:t>表1-5《云南省“十四五”生态环境保护规划》相符性分析表</w:t>
            </w:r>
          </w:p>
          <w:tbl>
            <w:tblPr>
              <w:tblStyle w:val="26"/>
              <w:tblW w:w="6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3815"/>
              <w:gridCol w:w="1740"/>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序号</w:t>
                  </w:r>
                </w:p>
              </w:tc>
              <w:tc>
                <w:tcPr>
                  <w:tcW w:w="38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《云南省“十四五”生态环境保护规划》</w:t>
                  </w:r>
                  <w:r>
                    <w:rPr>
                      <w:rFonts w:hint="eastAsia" w:ascii="宋体" w:hAnsi="宋体" w:cs="宋体"/>
                      <w:b/>
                      <w:bCs/>
                      <w:color w:val="auto"/>
                      <w:sz w:val="21"/>
                      <w:szCs w:val="21"/>
                      <w:lang w:val="en-US" w:eastAsia="zh-CN"/>
                    </w:rPr>
                    <w:t>要求</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本项目情况</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3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加强消耗臭氧层物质和氢氟碳化物环境管理。严厉打击消耗臭氧层物质生产、销售、使用等非法活动。实施含氢氯氟烃（HCFCs）淘汰和替代。继续推动三氟甲烷（HFC-23）的销毁和转化。鼓励研究开发替代技术和替代产品。</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本项目为基层医疗服务项目，不涉及上述情况</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3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加强恶臭、有毒有害大气污染物防控。完善致臭物质识别、恶臭污染评估和溯源技术方法。鼓励开展恶臭投诉重点企业和各类开发区监测。加强化工企业、城镇污水处理厂、城市垃圾填埋场及其他领域有毒有害大气污染物风险管控。完善有毒有害大气污染物名录，探索建立有毒有害大气污染物管理体系和工作机制。</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本项目为基层医疗服务项目，不涉及有毒有害气体排放。</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38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立平战结合医疗废物应急处置体系。各州（市）开展医疗废物集中处置设施升级改造，确保稳定规范运行。统筹新建、在建和现有危险废物焚烧设施、协同处置固体废物的水泥窑、生活垃圾焚烧设施等设施资源，建立协同应急处置设施清单，完善物资储备体系，保障重大疫情医疗废物应急处置能力。2021年底前，各州（市）人民政府应至少确定一座协同应急处置设施，明确应急状态管理流程和规则。各县（市、区）完善医疗废物收集转运处置体系并逐步覆盖农村地区。强化医疗废物源头分类，设置医疗废物专门的收集容器和暂存点。精准有效做好常态化疫情防控相关环保工作，加强医疗废物等处理处置环境监管。到2022年底，基本补齐医疗废物处理设施短板，县级以上城市建成区医疗废物无害化处置率达到100%。</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本项目产生的医疗废物（</w:t>
                  </w:r>
                  <w:r>
                    <w:rPr>
                      <w:rFonts w:hint="eastAsia" w:ascii="宋体" w:hAnsi="宋体" w:eastAsia="宋体" w:cs="宋体"/>
                      <w:color w:val="auto"/>
                      <w:sz w:val="21"/>
                      <w:szCs w:val="21"/>
                    </w:rPr>
                    <w:t>感染性、损伤性</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病理性、药物性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暂存医疗废物暂存间，</w:t>
                  </w:r>
                  <w:r>
                    <w:rPr>
                      <w:rFonts w:hint="eastAsia" w:ascii="宋体" w:hAnsi="宋体" w:cs="宋体"/>
                      <w:color w:val="auto"/>
                      <w:sz w:val="21"/>
                      <w:szCs w:val="21"/>
                      <w:lang w:val="en-US" w:eastAsia="zh-CN"/>
                    </w:rPr>
                    <w:t>资质单位</w:t>
                  </w:r>
                  <w:r>
                    <w:rPr>
                      <w:rFonts w:hint="eastAsia" w:ascii="宋体" w:hAnsi="宋体" w:eastAsia="宋体" w:cs="宋体"/>
                      <w:color w:val="auto"/>
                      <w:sz w:val="21"/>
                      <w:szCs w:val="21"/>
                    </w:rPr>
                    <w:t>进行安全处置</w:t>
                  </w:r>
                  <w:r>
                    <w:rPr>
                      <w:rFonts w:hint="eastAsia" w:ascii="宋体" w:hAnsi="宋体" w:eastAsia="宋体" w:cs="宋体"/>
                      <w:color w:val="auto"/>
                      <w:sz w:val="21"/>
                      <w:szCs w:val="21"/>
                      <w:lang w:val="en-US" w:eastAsia="zh-CN"/>
                    </w:rPr>
                    <w:t>，严格执行医疗废物转移联单制度；生活垃圾委托当地环卫部门定期清理。</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w:t>
                  </w:r>
                </w:p>
              </w:tc>
            </w:tr>
          </w:tbl>
          <w:p>
            <w:pPr>
              <w:spacing w:line="360" w:lineRule="auto"/>
              <w:rPr>
                <w:rFonts w:hint="eastAsia" w:ascii="宋体" w:hAnsi="宋体" w:eastAsia="宋体" w:cs="宋体"/>
                <w:b w:val="0"/>
                <w:bCs w:val="0"/>
                <w:color w:val="auto"/>
                <w:sz w:val="24"/>
                <w:szCs w:val="24"/>
                <w:lang w:val="en-US" w:eastAsia="zh-CN"/>
              </w:rPr>
            </w:pPr>
          </w:p>
          <w:p>
            <w:pPr>
              <w:widowControl/>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rPr>
              <w:t>1.14项目</w:t>
            </w:r>
            <w:r>
              <w:rPr>
                <w:rFonts w:hint="eastAsia" w:ascii="宋体" w:hAnsi="宋体" w:eastAsia="宋体" w:cs="宋体"/>
                <w:b/>
                <w:bCs/>
                <w:color w:val="auto"/>
                <w:kern w:val="0"/>
                <w:sz w:val="24"/>
                <w:szCs w:val="24"/>
                <w:lang w:bidi="ar"/>
              </w:rPr>
              <w:t xml:space="preserve">与《医疗废物管理条例》符合性分析 </w:t>
            </w:r>
          </w:p>
          <w:p>
            <w:pPr>
              <w:adjustRightInd w:val="0"/>
              <w:snapToGrid w:val="0"/>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本项目与《医疗废物管理条例》符合性分析见表1-</w:t>
            </w:r>
            <w:r>
              <w:rPr>
                <w:rFonts w:hint="eastAsia" w:ascii="宋体" w:hAnsi="宋体" w:cs="宋体"/>
                <w:color w:val="auto"/>
                <w:kern w:val="0"/>
                <w:sz w:val="24"/>
                <w:szCs w:val="24"/>
                <w:lang w:val="en-US" w:eastAsia="zh-CN" w:bidi="ar"/>
              </w:rPr>
              <w:t>6</w:t>
            </w:r>
            <w:r>
              <w:rPr>
                <w:rFonts w:hint="eastAsia" w:ascii="宋体" w:hAnsi="宋体" w:eastAsia="宋体" w:cs="宋体"/>
                <w:color w:val="auto"/>
                <w:kern w:val="0"/>
                <w:sz w:val="24"/>
                <w:szCs w:val="24"/>
                <w:lang w:bidi="ar"/>
              </w:rPr>
              <w:t>。</w:t>
            </w:r>
          </w:p>
          <w:p>
            <w:pPr>
              <w:jc w:val="center"/>
              <w:rPr>
                <w:rFonts w:hint="eastAsia" w:ascii="宋体" w:hAnsi="宋体" w:eastAsia="宋体" w:cs="宋体"/>
                <w:color w:val="auto"/>
                <w:sz w:val="24"/>
                <w:szCs w:val="24"/>
              </w:rPr>
            </w:pPr>
            <w:r>
              <w:rPr>
                <w:rFonts w:hint="eastAsia" w:ascii="黑体" w:hAnsi="黑体" w:eastAsia="黑体" w:cs="黑体"/>
                <w:color w:val="auto"/>
                <w:sz w:val="21"/>
                <w:szCs w:val="21"/>
              </w:rPr>
              <w:t>表1-</w:t>
            </w:r>
            <w:r>
              <w:rPr>
                <w:rFonts w:hint="eastAsia" w:ascii="黑体" w:hAnsi="黑体" w:eastAsia="黑体" w:cs="黑体"/>
                <w:color w:val="auto"/>
                <w:sz w:val="21"/>
                <w:szCs w:val="21"/>
                <w:lang w:val="en-US" w:eastAsia="zh-CN"/>
              </w:rPr>
              <w:t>6</w:t>
            </w:r>
            <w:r>
              <w:rPr>
                <w:rFonts w:hint="eastAsia" w:ascii="黑体" w:hAnsi="黑体" w:eastAsia="黑体" w:cs="黑体"/>
                <w:color w:val="auto"/>
                <w:sz w:val="21"/>
                <w:szCs w:val="21"/>
              </w:rPr>
              <w:t xml:space="preserve">  与《医疗废物管理条例》符合性分析一览表</w:t>
            </w:r>
          </w:p>
          <w:tbl>
            <w:tblPr>
              <w:tblStyle w:val="26"/>
              <w:tblW w:w="6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3939"/>
              <w:gridCol w:w="1639"/>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序号</w:t>
                  </w:r>
                </w:p>
              </w:tc>
              <w:tc>
                <w:tcPr>
                  <w:tcW w:w="39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《医疗废物管理条例》要求</w:t>
                  </w:r>
                </w:p>
              </w:tc>
              <w:tc>
                <w:tcPr>
                  <w:tcW w:w="16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本项目情况</w:t>
                  </w:r>
                </w:p>
              </w:tc>
              <w:tc>
                <w:tcPr>
                  <w:tcW w:w="848"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1</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第十一条医疗卫生机构和医疗废物集中处置单位，应当依照《中华人民共和国固体废物污染环境防治法》的规定，执行危险废物转移联单管理制度。</w:t>
                  </w:r>
                </w:p>
              </w:tc>
              <w:tc>
                <w:tcPr>
                  <w:tcW w:w="1639"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本项目执行</w:t>
                  </w:r>
                  <w:r>
                    <w:rPr>
                      <w:rFonts w:hint="eastAsia" w:ascii="宋体" w:hAnsi="宋体" w:eastAsia="宋体" w:cs="宋体"/>
                      <w:color w:val="auto"/>
                      <w:kern w:val="0"/>
                      <w:sz w:val="21"/>
                      <w:szCs w:val="21"/>
                      <w:lang w:bidi="ar"/>
                    </w:rPr>
                    <w:t>危险废物转移联单管理制度，制度上墙，</w:t>
                  </w:r>
                  <w:r>
                    <w:rPr>
                      <w:rFonts w:hint="eastAsia" w:ascii="宋体" w:hAnsi="宋体" w:eastAsia="宋体" w:cs="宋体"/>
                      <w:bCs/>
                      <w:color w:val="auto"/>
                      <w:kern w:val="0"/>
                      <w:sz w:val="21"/>
                      <w:szCs w:val="21"/>
                      <w:lang w:bidi="ar"/>
                    </w:rPr>
                    <w:t>每次进行医疗固废转移均填写转移联单</w:t>
                  </w:r>
                  <w:r>
                    <w:rPr>
                      <w:rFonts w:hint="eastAsia" w:ascii="宋体" w:hAnsi="宋体" w:eastAsia="宋体" w:cs="宋体"/>
                      <w:color w:val="auto"/>
                      <w:kern w:val="0"/>
                      <w:sz w:val="21"/>
                      <w:szCs w:val="21"/>
                      <w:lang w:bidi="ar"/>
                    </w:rPr>
                    <w:t>。</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2</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第十二条医疗卫生机构和医疗废物集中处置单位，应当对医疗废物进行登记，登记内容应当包括医疗废物的来源、种类、重量或者数量、交接时间、处置方法、最终去向以及经办人签名等项目。登记资料至少保存3年。</w:t>
                  </w:r>
                </w:p>
              </w:tc>
              <w:tc>
                <w:tcPr>
                  <w:tcW w:w="1639"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按照要求对</w:t>
                  </w:r>
                  <w:r>
                    <w:rPr>
                      <w:rFonts w:hint="eastAsia" w:ascii="宋体" w:hAnsi="宋体" w:eastAsia="宋体" w:cs="宋体"/>
                      <w:color w:val="auto"/>
                      <w:kern w:val="0"/>
                      <w:sz w:val="21"/>
                      <w:szCs w:val="21"/>
                      <w:lang w:bidi="ar"/>
                    </w:rPr>
                    <w:t>医疗废物进行登记，登记资料</w:t>
                  </w:r>
                  <w:r>
                    <w:rPr>
                      <w:rFonts w:hint="eastAsia" w:ascii="宋体" w:hAnsi="宋体" w:eastAsia="宋体" w:cs="宋体"/>
                      <w:bCs/>
                      <w:color w:val="auto"/>
                      <w:kern w:val="0"/>
                      <w:sz w:val="21"/>
                      <w:szCs w:val="21"/>
                      <w:lang w:bidi="ar"/>
                    </w:rPr>
                    <w:t>保存五年。</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3</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第十三条医疗卫生机构和医疗废物集中处置单位，应当采取有效措施，防止医疗废物流失、泄漏、扩散。</w:t>
                  </w:r>
                </w:p>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p>
              </w:tc>
              <w:tc>
                <w:tcPr>
                  <w:tcW w:w="1639"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按照要求对</w:t>
                  </w:r>
                  <w:r>
                    <w:rPr>
                      <w:rFonts w:hint="eastAsia" w:ascii="宋体" w:hAnsi="宋体" w:cs="宋体"/>
                      <w:bCs/>
                      <w:color w:val="auto"/>
                      <w:kern w:val="0"/>
                      <w:sz w:val="21"/>
                      <w:szCs w:val="21"/>
                      <w:lang w:eastAsia="zh-CN" w:bidi="ar"/>
                    </w:rPr>
                    <w:t>医疗废物暂存间</w:t>
                  </w:r>
                  <w:r>
                    <w:rPr>
                      <w:rFonts w:hint="eastAsia" w:ascii="宋体" w:hAnsi="宋体" w:eastAsia="宋体" w:cs="宋体"/>
                      <w:bCs/>
                      <w:color w:val="auto"/>
                      <w:kern w:val="0"/>
                      <w:sz w:val="21"/>
                      <w:szCs w:val="21"/>
                      <w:lang w:bidi="ar"/>
                    </w:rPr>
                    <w:t>进行重点防渗，可做到防止</w:t>
                  </w:r>
                  <w:r>
                    <w:rPr>
                      <w:rFonts w:hint="eastAsia" w:ascii="宋体" w:hAnsi="宋体" w:eastAsia="宋体" w:cs="宋体"/>
                      <w:color w:val="auto"/>
                      <w:kern w:val="0"/>
                      <w:sz w:val="21"/>
                      <w:szCs w:val="21"/>
                      <w:lang w:bidi="ar"/>
                    </w:rPr>
                    <w:t>医疗废物的流失、泄漏、扩散。</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0" w:type="dxa"/>
                  <w:vAlign w:val="center"/>
                </w:tcPr>
                <w:p>
                  <w:pPr>
                    <w:adjustRightInd w:val="0"/>
                    <w:snapToGrid w:val="0"/>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4</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第十六条医疗卫生机构应当及时收集本单位产生的医疗废物，并按照类别分置于防渗漏、防锐器穿透的专用包装物或者密闭的容器内。</w:t>
                  </w:r>
                </w:p>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医疗废物专用包装物、容器，应当有明显的警示标识和警示说明。</w:t>
                  </w:r>
                </w:p>
                <w:p>
                  <w:pPr>
                    <w:adjustRightInd w:val="0"/>
                    <w:snapToGrid w:val="0"/>
                    <w:ind w:firstLine="420" w:firstLineChars="200"/>
                    <w:rPr>
                      <w:rFonts w:hint="eastAsia" w:ascii="宋体" w:hAnsi="宋体" w:eastAsia="宋体" w:cs="宋体"/>
                      <w:bCs/>
                      <w:color w:val="auto"/>
                      <w:kern w:val="0"/>
                      <w:sz w:val="21"/>
                      <w:szCs w:val="21"/>
                      <w:lang w:bidi="ar"/>
                    </w:rPr>
                  </w:pPr>
                  <w:r>
                    <w:rPr>
                      <w:rFonts w:hint="eastAsia" w:ascii="宋体" w:hAnsi="宋体" w:eastAsia="宋体" w:cs="宋体"/>
                      <w:color w:val="auto"/>
                      <w:kern w:val="0"/>
                      <w:sz w:val="21"/>
                      <w:szCs w:val="21"/>
                      <w:lang w:bidi="ar"/>
                    </w:rPr>
                    <w:t>医疗废物专用包装物、容器的标准和警示标识的规定，由国务院卫生行政主管部门和环境保护行政主管部门共同制定。</w:t>
                  </w:r>
                </w:p>
              </w:tc>
              <w:tc>
                <w:tcPr>
                  <w:tcW w:w="1639" w:type="dxa"/>
                  <w:vAlign w:val="center"/>
                </w:tcPr>
                <w:p>
                  <w:pPr>
                    <w:widowControl/>
                    <w:jc w:val="left"/>
                    <w:rPr>
                      <w:rFonts w:hint="eastAsia" w:ascii="宋体" w:hAnsi="宋体" w:eastAsia="宋体" w:cs="宋体"/>
                      <w:bCs/>
                      <w:color w:val="auto"/>
                      <w:kern w:val="0"/>
                      <w:sz w:val="21"/>
                      <w:szCs w:val="21"/>
                      <w:lang w:bidi="ar"/>
                    </w:rPr>
                  </w:pPr>
                  <w:r>
                    <w:rPr>
                      <w:rFonts w:hint="eastAsia" w:ascii="宋体" w:hAnsi="宋体" w:eastAsia="宋体" w:cs="宋体"/>
                      <w:color w:val="auto"/>
                      <w:kern w:val="0"/>
                      <w:sz w:val="21"/>
                      <w:szCs w:val="21"/>
                      <w:lang w:bidi="ar"/>
                    </w:rPr>
                    <w:t>项目内医疗废物随产随收，并按感染性废物、损伤性废物、</w:t>
                  </w:r>
                  <w:r>
                    <w:rPr>
                      <w:rFonts w:hint="eastAsia" w:ascii="宋体" w:hAnsi="宋体" w:eastAsia="宋体" w:cs="宋体"/>
                      <w:color w:val="auto"/>
                      <w:kern w:val="0"/>
                      <w:sz w:val="21"/>
                      <w:szCs w:val="21"/>
                      <w:lang w:val="en-US" w:eastAsia="zh-CN" w:bidi="ar"/>
                    </w:rPr>
                    <w:t>病理性</w:t>
                  </w:r>
                  <w:r>
                    <w:rPr>
                      <w:rFonts w:hint="eastAsia" w:ascii="宋体" w:hAnsi="宋体" w:eastAsia="宋体" w:cs="宋体"/>
                      <w:color w:val="auto"/>
                      <w:kern w:val="0"/>
                      <w:sz w:val="21"/>
                      <w:szCs w:val="21"/>
                      <w:lang w:bidi="ar"/>
                    </w:rPr>
                    <w:t>废物用专用容器分类收集，并且收集容器应按相关规定规范设置标识。</w:t>
                  </w:r>
                </w:p>
              </w:tc>
              <w:tc>
                <w:tcPr>
                  <w:tcW w:w="848" w:type="dxa"/>
                  <w:vAlign w:val="center"/>
                </w:tcPr>
                <w:p>
                  <w:pPr>
                    <w:adjustRightInd w:val="0"/>
                    <w:snapToGrid w:val="0"/>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0" w:type="dxa"/>
                  <w:vAlign w:val="center"/>
                </w:tcPr>
                <w:p>
                  <w:pPr>
                    <w:adjustRightInd w:val="0"/>
                    <w:snapToGrid w:val="0"/>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5</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第十七条医疗卫生机构应当建立医疗废物的暂时贮存设施、设备，不得露天存放医疗废物；医疗废物暂时贮存的时间不得超过2天。</w:t>
                  </w:r>
                </w:p>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医疗废物的暂时贮存设施、设备，应当远离医疗区、食品加工区和人员活动区以及生活垃圾存放场所，并设置明显的警示标识和防渗漏、防鼠、防蚊蝇、防蟑螂、防盗以及预防儿童接触等安全措施。</w:t>
                  </w:r>
                </w:p>
                <w:p>
                  <w:pPr>
                    <w:adjustRightInd w:val="0"/>
                    <w:snapToGrid w:val="0"/>
                    <w:ind w:firstLine="420" w:firstLineChars="200"/>
                    <w:rPr>
                      <w:rFonts w:hint="eastAsia" w:ascii="宋体" w:hAnsi="宋体" w:eastAsia="宋体" w:cs="宋体"/>
                      <w:bCs/>
                      <w:color w:val="auto"/>
                      <w:kern w:val="0"/>
                      <w:sz w:val="21"/>
                      <w:szCs w:val="21"/>
                      <w:lang w:bidi="ar"/>
                    </w:rPr>
                  </w:pPr>
                  <w:r>
                    <w:rPr>
                      <w:rFonts w:hint="eastAsia" w:ascii="宋体" w:hAnsi="宋体" w:eastAsia="宋体" w:cs="宋体"/>
                      <w:color w:val="auto"/>
                      <w:kern w:val="0"/>
                      <w:sz w:val="21"/>
                      <w:szCs w:val="21"/>
                      <w:lang w:bidi="ar"/>
                    </w:rPr>
                    <w:t>医疗废物的暂时贮存设施、设备应当定期消毒和清洁。</w:t>
                  </w:r>
                </w:p>
              </w:tc>
              <w:tc>
                <w:tcPr>
                  <w:tcW w:w="1639" w:type="dxa"/>
                  <w:vAlign w:val="center"/>
                </w:tcPr>
                <w:p>
                  <w:pPr>
                    <w:widowControl/>
                    <w:jc w:val="left"/>
                    <w:rPr>
                      <w:rFonts w:hint="eastAsia" w:ascii="宋体" w:hAnsi="宋体" w:eastAsia="宋体" w:cs="宋体"/>
                      <w:bCs/>
                      <w:color w:val="auto"/>
                      <w:kern w:val="0"/>
                      <w:sz w:val="21"/>
                      <w:szCs w:val="21"/>
                      <w:lang w:bidi="ar"/>
                    </w:rPr>
                  </w:pPr>
                  <w:r>
                    <w:rPr>
                      <w:rFonts w:hint="eastAsia" w:ascii="宋体" w:hAnsi="宋体" w:eastAsia="宋体" w:cs="宋体"/>
                      <w:color w:val="auto"/>
                      <w:kern w:val="0"/>
                      <w:sz w:val="21"/>
                      <w:szCs w:val="21"/>
                      <w:lang w:bidi="ar"/>
                    </w:rPr>
                    <w:t>项目内设置有独立</w:t>
                  </w:r>
                  <w:r>
                    <w:rPr>
                      <w:rFonts w:hint="eastAsia" w:ascii="宋体" w:hAnsi="宋体" w:cs="宋体"/>
                      <w:color w:val="auto"/>
                      <w:kern w:val="0"/>
                      <w:sz w:val="21"/>
                      <w:szCs w:val="21"/>
                      <w:lang w:eastAsia="zh-CN" w:bidi="ar"/>
                    </w:rPr>
                    <w:t>医疗废物暂存间</w:t>
                  </w:r>
                  <w:r>
                    <w:rPr>
                      <w:rFonts w:hint="eastAsia" w:ascii="宋体" w:hAnsi="宋体" w:eastAsia="宋体" w:cs="宋体"/>
                      <w:color w:val="auto"/>
                      <w:kern w:val="0"/>
                      <w:sz w:val="21"/>
                      <w:szCs w:val="21"/>
                      <w:lang w:bidi="ar"/>
                    </w:rPr>
                    <w:t>及暂存设施，医疗废物密闭保存，并定期进行消毒和清洁，设置明显的警示标识。医疗废物暂时贮存的时间不超过</w:t>
                  </w:r>
                  <w:r>
                    <w:rPr>
                      <w:rFonts w:hint="eastAsia" w:ascii="宋体" w:hAnsi="宋体" w:cs="宋体"/>
                      <w:color w:val="auto"/>
                      <w:kern w:val="0"/>
                      <w:sz w:val="21"/>
                      <w:szCs w:val="21"/>
                      <w:lang w:val="en-US" w:eastAsia="zh-CN" w:bidi="ar"/>
                    </w:rPr>
                    <w:t>24小时</w:t>
                  </w:r>
                  <w:r>
                    <w:rPr>
                      <w:rFonts w:hint="eastAsia" w:ascii="宋体" w:hAnsi="宋体" w:eastAsia="宋体" w:cs="宋体"/>
                      <w:color w:val="auto"/>
                      <w:kern w:val="0"/>
                      <w:sz w:val="21"/>
                      <w:szCs w:val="21"/>
                      <w:lang w:bidi="ar"/>
                    </w:rPr>
                    <w:t>。远离医疗区、食品加工区和人员活动区以及生活垃圾存放场所，</w:t>
                  </w:r>
                  <w:r>
                    <w:rPr>
                      <w:rFonts w:hint="eastAsia" w:ascii="宋体" w:hAnsi="宋体" w:eastAsia="宋体" w:cs="宋体"/>
                      <w:bCs/>
                      <w:color w:val="auto"/>
                      <w:kern w:val="0"/>
                      <w:sz w:val="21"/>
                      <w:szCs w:val="21"/>
                      <w:lang w:bidi="ar"/>
                    </w:rPr>
                    <w:t>医疗废物委有资质的单位进行处置。</w:t>
                  </w:r>
                </w:p>
              </w:tc>
              <w:tc>
                <w:tcPr>
                  <w:tcW w:w="848" w:type="dxa"/>
                  <w:vAlign w:val="center"/>
                </w:tcPr>
                <w:p>
                  <w:pPr>
                    <w:adjustRightInd w:val="0"/>
                    <w:snapToGrid w:val="0"/>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bl>
          <w:p>
            <w:pPr>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bidi="ar"/>
              </w:rPr>
              <w:t>综上所述，项目医疗固废的管理、处置符合《医疗废物管理条例》的相关要求，项目医疗固废管理、处置合理。</w:t>
            </w:r>
          </w:p>
          <w:p>
            <w:pPr>
              <w:widowControl/>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rPr>
              <w:t>1.15项目</w:t>
            </w:r>
            <w:r>
              <w:rPr>
                <w:rFonts w:hint="eastAsia" w:ascii="宋体" w:hAnsi="宋体" w:eastAsia="宋体" w:cs="宋体"/>
                <w:b/>
                <w:bCs/>
                <w:color w:val="auto"/>
                <w:kern w:val="0"/>
                <w:sz w:val="24"/>
                <w:szCs w:val="24"/>
                <w:lang w:bidi="ar"/>
              </w:rPr>
              <w:t xml:space="preserve">与《中共云南省委云南省人民政府关于深入打好污染防治攻坚战的实施意见》符合性分析 </w:t>
            </w:r>
          </w:p>
          <w:p>
            <w:pPr>
              <w:adjustRightInd w:val="0"/>
              <w:snapToGrid w:val="0"/>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本项目与《中共云南省委云南省人民政府关于深入打好污染防治攻坚战的实施意见》符合性分析见表1-</w:t>
            </w:r>
            <w:r>
              <w:rPr>
                <w:rFonts w:hint="eastAsia" w:ascii="宋体" w:hAnsi="宋体" w:cs="宋体"/>
                <w:color w:val="auto"/>
                <w:kern w:val="0"/>
                <w:sz w:val="24"/>
                <w:szCs w:val="24"/>
                <w:lang w:val="en-US" w:eastAsia="zh-CN" w:bidi="ar"/>
              </w:rPr>
              <w:t>7</w:t>
            </w:r>
            <w:r>
              <w:rPr>
                <w:rFonts w:hint="eastAsia" w:ascii="宋体" w:hAnsi="宋体" w:eastAsia="宋体" w:cs="宋体"/>
                <w:color w:val="auto"/>
                <w:kern w:val="0"/>
                <w:sz w:val="24"/>
                <w:szCs w:val="24"/>
                <w:lang w:bidi="ar"/>
              </w:rPr>
              <w:t>。</w:t>
            </w:r>
          </w:p>
          <w:p>
            <w:pPr>
              <w:jc w:val="center"/>
              <w:rPr>
                <w:rFonts w:hint="eastAsia" w:ascii="宋体" w:hAnsi="宋体" w:eastAsia="宋体" w:cs="宋体"/>
                <w:color w:val="auto"/>
                <w:sz w:val="24"/>
                <w:szCs w:val="24"/>
              </w:rPr>
            </w:pPr>
            <w:r>
              <w:rPr>
                <w:rFonts w:hint="eastAsia" w:ascii="黑体" w:hAnsi="黑体" w:eastAsia="黑体" w:cs="黑体"/>
                <w:color w:val="auto"/>
                <w:sz w:val="21"/>
                <w:szCs w:val="21"/>
              </w:rPr>
              <w:t>表1-</w:t>
            </w:r>
            <w:r>
              <w:rPr>
                <w:rFonts w:hint="eastAsia" w:ascii="黑体" w:hAnsi="黑体" w:eastAsia="黑体" w:cs="黑体"/>
                <w:color w:val="auto"/>
                <w:sz w:val="21"/>
                <w:szCs w:val="21"/>
                <w:lang w:val="en-US" w:eastAsia="zh-CN"/>
              </w:rPr>
              <w:t>7</w:t>
            </w:r>
            <w:r>
              <w:rPr>
                <w:rFonts w:hint="eastAsia" w:ascii="黑体" w:hAnsi="黑体" w:eastAsia="黑体" w:cs="黑体"/>
                <w:color w:val="auto"/>
                <w:sz w:val="21"/>
                <w:szCs w:val="21"/>
              </w:rPr>
              <w:t xml:space="preserve">  与《中共云南省委云南省人民政府关于深入打好污染防治攻坚战的实施意见》符合性分析一览表</w:t>
            </w:r>
          </w:p>
          <w:tbl>
            <w:tblPr>
              <w:tblStyle w:val="26"/>
              <w:tblW w:w="6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3939"/>
              <w:gridCol w:w="1639"/>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序号</w:t>
                  </w:r>
                </w:p>
              </w:tc>
              <w:tc>
                <w:tcPr>
                  <w:tcW w:w="39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《中共云南省委云南省人民政府关于深入打好污染防治攻坚战的实施意见》要求</w:t>
                  </w:r>
                </w:p>
              </w:tc>
              <w:tc>
                <w:tcPr>
                  <w:tcW w:w="16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本项目情况</w:t>
                  </w:r>
                </w:p>
              </w:tc>
              <w:tc>
                <w:tcPr>
                  <w:tcW w:w="848"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1</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坚决遏制高耗能高排放项目盲目发展。坚决停批停建不符合规定的项目，深入推进产业补链延链强链、绿色低碳转型。严格落实产能置换和产能控制政策，实施粗钢产能清理整顿。</w:t>
                  </w:r>
                </w:p>
                <w:p>
                  <w:pPr>
                    <w:adjustRightInd w:val="0"/>
                    <w:snapToGrid w:val="0"/>
                    <w:ind w:firstLine="420" w:firstLineChars="200"/>
                    <w:rPr>
                      <w:rFonts w:hint="eastAsia" w:ascii="宋体" w:hAnsi="宋体" w:eastAsia="宋体" w:cs="宋体"/>
                      <w:color w:val="auto"/>
                      <w:kern w:val="0"/>
                      <w:sz w:val="21"/>
                      <w:szCs w:val="21"/>
                      <w:lang w:bidi="ar"/>
                    </w:rPr>
                  </w:pPr>
                </w:p>
              </w:tc>
              <w:tc>
                <w:tcPr>
                  <w:tcW w:w="1639"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color w:val="auto"/>
                      <w:sz w:val="21"/>
                      <w:szCs w:val="21"/>
                      <w:lang w:val="en-US" w:eastAsia="zh-CN"/>
                    </w:rPr>
                    <w:t>本项目为基层医疗服务项目，不属于</w:t>
                  </w:r>
                  <w:r>
                    <w:rPr>
                      <w:rFonts w:hint="eastAsia" w:ascii="宋体" w:hAnsi="宋体" w:eastAsia="宋体" w:cs="宋体"/>
                      <w:color w:val="auto"/>
                      <w:kern w:val="0"/>
                      <w:sz w:val="21"/>
                      <w:szCs w:val="21"/>
                      <w:lang w:bidi="ar"/>
                    </w:rPr>
                    <w:t>高耗能高排放</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2</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加强生态环境分区管控。优化生态环境分区管控格局，不断完善“三线一单”生态环境分区管控体系。开展重大经济技术政策的生态环境影响分析和重大生态环境政策的社会经济影响评估。</w:t>
                  </w:r>
                </w:p>
                <w:p>
                  <w:pPr>
                    <w:adjustRightInd w:val="0"/>
                    <w:snapToGrid w:val="0"/>
                    <w:ind w:firstLine="420" w:firstLineChars="200"/>
                    <w:rPr>
                      <w:rFonts w:hint="eastAsia" w:ascii="宋体" w:hAnsi="宋体" w:eastAsia="宋体" w:cs="宋体"/>
                      <w:color w:val="auto"/>
                      <w:kern w:val="0"/>
                      <w:sz w:val="21"/>
                      <w:szCs w:val="21"/>
                      <w:lang w:bidi="ar"/>
                    </w:rPr>
                  </w:pPr>
                </w:p>
              </w:tc>
              <w:tc>
                <w:tcPr>
                  <w:tcW w:w="1639" w:type="dxa"/>
                  <w:vAlign w:val="center"/>
                </w:tcPr>
                <w:p>
                  <w:pP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根据三线一单查询及分析，本项目的建设基本符合《西双版纳州人民政府关于印发西双版纳 州“三线一单”生态环境分区管控实施方案的通知》（西政发〔2021〕11 号）的要求。</w:t>
                  </w:r>
                </w:p>
                <w:p>
                  <w:pPr>
                    <w:widowControl/>
                    <w:jc w:val="center"/>
                    <w:rPr>
                      <w:rFonts w:hint="eastAsia" w:ascii="宋体" w:hAnsi="宋体" w:eastAsia="宋体" w:cs="宋体"/>
                      <w:bCs/>
                      <w:color w:val="auto"/>
                      <w:kern w:val="0"/>
                      <w:sz w:val="21"/>
                      <w:szCs w:val="21"/>
                      <w:lang w:bidi="ar"/>
                    </w:rPr>
                  </w:pP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3</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改善区域大气和声环境质量。持续开展春夏季攻坚行动，提升滇西南、滇南环境空气质量。完善滇中地区大气污染联防联控机制。加大餐饮油烟污染、恶臭异味治理力度。实施噪声污染防治行动，解决群众关心的噪声污染问题。</w:t>
                  </w:r>
                </w:p>
                <w:p>
                  <w:pPr>
                    <w:adjustRightInd w:val="0"/>
                    <w:snapToGrid w:val="0"/>
                    <w:ind w:firstLine="420" w:firstLineChars="200"/>
                    <w:rPr>
                      <w:rFonts w:hint="eastAsia" w:ascii="宋体" w:hAnsi="宋体" w:eastAsia="宋体" w:cs="宋体"/>
                      <w:color w:val="auto"/>
                      <w:kern w:val="0"/>
                      <w:sz w:val="21"/>
                      <w:szCs w:val="21"/>
                      <w:lang w:bidi="ar"/>
                    </w:rPr>
                  </w:pPr>
                </w:p>
              </w:tc>
              <w:tc>
                <w:tcPr>
                  <w:tcW w:w="1639"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本项目污水处理站会产生恶臭，通过设置地埋式污水处理站，定期喷洒除臭剂减少恶臭排放。产噪设备置于建筑物内，减少噪声排放。</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0" w:type="dxa"/>
                  <w:vAlign w:val="center"/>
                </w:tcPr>
                <w:p>
                  <w:pPr>
                    <w:adjustRightInd w:val="0"/>
                    <w:snapToGrid w:val="0"/>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4</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持续打好城市黑臭水体治理攻坚战。有效控制入河污染物排放，强化溯源整治，推进城镇污水管网全覆盖。因地制宜开展水体内源污染治理和生态修复。巩固城市黑臭水体整治成效，建立“长治久清”长效机制。</w:t>
                  </w:r>
                </w:p>
                <w:p>
                  <w:pPr>
                    <w:adjustRightInd w:val="0"/>
                    <w:snapToGrid w:val="0"/>
                    <w:ind w:firstLine="420" w:firstLineChars="200"/>
                    <w:rPr>
                      <w:rFonts w:hint="eastAsia" w:ascii="宋体" w:hAnsi="宋体" w:eastAsia="宋体" w:cs="宋体"/>
                      <w:bCs/>
                      <w:color w:val="auto"/>
                      <w:kern w:val="0"/>
                      <w:sz w:val="21"/>
                      <w:szCs w:val="21"/>
                      <w:lang w:bidi="ar"/>
                    </w:rPr>
                  </w:pPr>
                </w:p>
              </w:tc>
              <w:tc>
                <w:tcPr>
                  <w:tcW w:w="1639" w:type="dxa"/>
                  <w:vAlign w:val="center"/>
                </w:tcPr>
                <w:p>
                  <w:pPr>
                    <w:widowControl/>
                    <w:jc w:val="left"/>
                    <w:rPr>
                      <w:rFonts w:hint="eastAsia" w:ascii="宋体" w:hAnsi="宋体" w:eastAsia="宋体" w:cs="宋体"/>
                      <w:bCs/>
                      <w:color w:val="auto"/>
                      <w:kern w:val="0"/>
                      <w:sz w:val="21"/>
                      <w:szCs w:val="21"/>
                      <w:lang w:bidi="ar"/>
                    </w:rPr>
                  </w:pPr>
                  <w:r>
                    <w:rPr>
                      <w:rFonts w:hint="eastAsia" w:ascii="宋体" w:hAnsi="宋体" w:eastAsia="宋体" w:cs="宋体"/>
                      <w:color w:val="auto"/>
                      <w:kern w:val="0"/>
                      <w:sz w:val="21"/>
                      <w:szCs w:val="21"/>
                      <w:highlight w:val="none"/>
                      <w:lang w:val="en-US" w:eastAsia="zh-CN" w:bidi="ar"/>
                    </w:rPr>
                    <w:t>项目产生的废水，通过一套污水处理设施处理达《医疗机构水污染物排放标准》（GB18466-2005）表2中预处理标准及《污水排入城镇下水道水质标准》（GB/T31962-2015）表1中A级标准后排入勐海镇市镇污水管网。</w:t>
                  </w:r>
                </w:p>
              </w:tc>
              <w:tc>
                <w:tcPr>
                  <w:tcW w:w="848" w:type="dxa"/>
                  <w:vAlign w:val="center"/>
                </w:tcPr>
                <w:p>
                  <w:pPr>
                    <w:adjustRightInd w:val="0"/>
                    <w:snapToGrid w:val="0"/>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bl>
          <w:p>
            <w:pPr>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bidi="ar"/>
              </w:rPr>
              <w:t>综上所述，项目符合《</w:t>
            </w:r>
            <w:r>
              <w:rPr>
                <w:rFonts w:hint="eastAsia" w:ascii="宋体" w:hAnsi="宋体" w:eastAsia="宋体" w:cs="宋体"/>
                <w:color w:val="auto"/>
                <w:sz w:val="24"/>
                <w:szCs w:val="24"/>
              </w:rPr>
              <w:t>中共云南省委云南省人民政府关于深入打好污染防治攻坚战的实施意见</w:t>
            </w:r>
            <w:r>
              <w:rPr>
                <w:rFonts w:hint="eastAsia" w:ascii="宋体" w:hAnsi="宋体" w:eastAsia="宋体" w:cs="宋体"/>
                <w:color w:val="auto"/>
                <w:sz w:val="24"/>
                <w:szCs w:val="24"/>
                <w:lang w:bidi="ar"/>
              </w:rPr>
              <w:t>》的相关要求</w:t>
            </w:r>
            <w:r>
              <w:rPr>
                <w:rFonts w:hint="eastAsia" w:ascii="宋体" w:hAnsi="宋体" w:eastAsia="宋体" w:cs="宋体"/>
                <w:color w:val="auto"/>
                <w:sz w:val="24"/>
                <w:szCs w:val="24"/>
                <w:lang w:eastAsia="zh-CN" w:bidi="ar"/>
              </w:rPr>
              <w:t>。</w:t>
            </w:r>
          </w:p>
          <w:p>
            <w:pPr>
              <w:widowControl/>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rPr>
              <w:t>1.16项目</w:t>
            </w:r>
            <w:r>
              <w:rPr>
                <w:rFonts w:hint="eastAsia" w:ascii="宋体" w:hAnsi="宋体" w:eastAsia="宋体" w:cs="宋体"/>
                <w:b/>
                <w:bCs/>
                <w:color w:val="auto"/>
                <w:kern w:val="0"/>
                <w:sz w:val="24"/>
                <w:szCs w:val="24"/>
                <w:lang w:bidi="ar"/>
              </w:rPr>
              <w:t>与《云南省“十四五”医疗卫生服务体系规划》</w:t>
            </w:r>
            <w:r>
              <w:rPr>
                <w:rFonts w:hint="eastAsia" w:ascii="宋体" w:hAnsi="宋体" w:eastAsia="宋体" w:cs="宋体"/>
                <w:b/>
                <w:bCs/>
                <w:color w:val="auto"/>
                <w:kern w:val="0"/>
                <w:sz w:val="24"/>
                <w:szCs w:val="24"/>
                <w:lang w:eastAsia="zh-CN" w:bidi="ar"/>
              </w:rPr>
              <w:t>（</w:t>
            </w:r>
            <w:r>
              <w:rPr>
                <w:rFonts w:hint="eastAsia" w:ascii="宋体" w:hAnsi="宋体" w:eastAsia="宋体" w:cs="宋体"/>
                <w:b/>
                <w:bCs/>
                <w:color w:val="auto"/>
                <w:kern w:val="0"/>
                <w:sz w:val="24"/>
                <w:szCs w:val="24"/>
                <w:lang w:bidi="ar"/>
              </w:rPr>
              <w:t>云政发〔2022]48号</w:t>
            </w:r>
            <w:r>
              <w:rPr>
                <w:rFonts w:hint="eastAsia" w:ascii="宋体" w:hAnsi="宋体" w:eastAsia="宋体" w:cs="宋体"/>
                <w:b/>
                <w:bCs/>
                <w:color w:val="auto"/>
                <w:kern w:val="0"/>
                <w:sz w:val="24"/>
                <w:szCs w:val="24"/>
                <w:lang w:eastAsia="zh-CN" w:bidi="ar"/>
              </w:rPr>
              <w:t>）</w:t>
            </w:r>
            <w:r>
              <w:rPr>
                <w:rFonts w:hint="eastAsia" w:ascii="宋体" w:hAnsi="宋体" w:eastAsia="宋体" w:cs="宋体"/>
                <w:b/>
                <w:bCs/>
                <w:color w:val="auto"/>
                <w:kern w:val="0"/>
                <w:sz w:val="24"/>
                <w:szCs w:val="24"/>
                <w:lang w:bidi="ar"/>
              </w:rPr>
              <w:t xml:space="preserve">符合性分析 </w:t>
            </w:r>
          </w:p>
          <w:p>
            <w:pPr>
              <w:adjustRightInd w:val="0"/>
              <w:snapToGrid w:val="0"/>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本项目与《云南省“十四五”医疗卫生服务体系规划》符合性分析见表1-</w:t>
            </w:r>
            <w:r>
              <w:rPr>
                <w:rFonts w:hint="eastAsia" w:ascii="宋体" w:hAnsi="宋体" w:cs="宋体"/>
                <w:color w:val="auto"/>
                <w:kern w:val="0"/>
                <w:sz w:val="24"/>
                <w:szCs w:val="24"/>
                <w:lang w:val="en-US" w:eastAsia="zh-CN" w:bidi="ar"/>
              </w:rPr>
              <w:t>8</w:t>
            </w:r>
            <w:r>
              <w:rPr>
                <w:rFonts w:hint="eastAsia" w:ascii="宋体" w:hAnsi="宋体" w:eastAsia="宋体" w:cs="宋体"/>
                <w:color w:val="auto"/>
                <w:kern w:val="0"/>
                <w:sz w:val="24"/>
                <w:szCs w:val="24"/>
                <w:lang w:bidi="ar"/>
              </w:rPr>
              <w:t>。</w:t>
            </w:r>
          </w:p>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表1-</w:t>
            </w:r>
            <w:r>
              <w:rPr>
                <w:rFonts w:hint="eastAsia" w:ascii="黑体" w:hAnsi="黑体" w:eastAsia="黑体" w:cs="黑体"/>
                <w:color w:val="auto"/>
                <w:sz w:val="21"/>
                <w:szCs w:val="21"/>
                <w:lang w:val="en-US" w:eastAsia="zh-CN"/>
              </w:rPr>
              <w:t>8</w:t>
            </w:r>
            <w:r>
              <w:rPr>
                <w:rFonts w:hint="eastAsia" w:ascii="黑体" w:hAnsi="黑体" w:eastAsia="黑体" w:cs="黑体"/>
                <w:color w:val="auto"/>
                <w:sz w:val="21"/>
                <w:szCs w:val="21"/>
              </w:rPr>
              <w:t xml:space="preserve">  与《云南省“十四五”医疗卫生服务体系规划》符合性分析一览表</w:t>
            </w:r>
          </w:p>
          <w:tbl>
            <w:tblPr>
              <w:tblStyle w:val="26"/>
              <w:tblW w:w="6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3939"/>
              <w:gridCol w:w="1639"/>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序号</w:t>
                  </w:r>
                </w:p>
              </w:tc>
              <w:tc>
                <w:tcPr>
                  <w:tcW w:w="39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《云南省“十四五”医疗卫生服务体系规划》要求</w:t>
                  </w:r>
                </w:p>
              </w:tc>
              <w:tc>
                <w:tcPr>
                  <w:tcW w:w="16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本项目情况</w:t>
                  </w:r>
                </w:p>
              </w:tc>
              <w:tc>
                <w:tcPr>
                  <w:tcW w:w="848"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1</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推进基层医疗卫生机构综合服务能力提升，优化基本医疗和公共卫生服务功能，筑牢基层常态化疫情防控网底。推动部分服务人口多、规模大、服务能力强的乡镇中心卫生院，在达到国家服务能力推荐标准的基础上，逐步达到二级医院服务能力。引导一般乡镇卫生院做好急诊急救和常见病日常诊疗服务，重点打造1—2个优质特色科室，拓展提升服务功能。加快拓展康复、儿科、口腔等专科医疗服务，满足群众就近就医服务和多元健康服务需求。加强社区卫生服务中心建设，提升基本公共卫生服务水平以及常见病、多发病的诊疗护理、康复治疗、康复训练等综合服务能力。支持条件成熟的社区卫生服务中心和乡镇卫生院创建社区医院。</w:t>
                  </w:r>
                </w:p>
                <w:p>
                  <w:pPr>
                    <w:adjustRightInd w:val="0"/>
                    <w:snapToGrid w:val="0"/>
                    <w:ind w:firstLine="420" w:firstLineChars="200"/>
                    <w:rPr>
                      <w:rFonts w:hint="eastAsia" w:ascii="宋体" w:hAnsi="宋体" w:eastAsia="宋体" w:cs="宋体"/>
                      <w:color w:val="auto"/>
                      <w:kern w:val="0"/>
                      <w:sz w:val="21"/>
                      <w:szCs w:val="21"/>
                      <w:lang w:bidi="ar"/>
                    </w:rPr>
                  </w:pPr>
                </w:p>
              </w:tc>
              <w:tc>
                <w:tcPr>
                  <w:tcW w:w="1639"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color w:val="auto"/>
                      <w:sz w:val="21"/>
                      <w:szCs w:val="21"/>
                      <w:u w:val="none"/>
                      <w:lang w:val="en-US" w:eastAsia="zh-CN"/>
                    </w:rPr>
                    <w:t>本卫生院与勐海县社区卫生服务中心是两块牌子同一法人运作模式，全民所有制非营利性事业单位，是“基本医疗、公共卫生并重”的综合性医院。具有对</w:t>
                  </w:r>
                  <w:r>
                    <w:rPr>
                      <w:rFonts w:hint="eastAsia" w:ascii="宋体" w:hAnsi="宋体" w:eastAsia="宋体" w:cs="宋体"/>
                      <w:color w:val="auto"/>
                      <w:kern w:val="0"/>
                      <w:sz w:val="21"/>
                      <w:szCs w:val="21"/>
                      <w:lang w:bidi="ar"/>
                    </w:rPr>
                    <w:t>常见病、多发病的诊疗护理、康复治疗、康复训练</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2</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加强省级中医医院建设，各州、市级中医医院达到三级中医医院建设标准，县级实现公立中医医疗机构全覆盖。依托省中医医院建设省民族医医院，强化傣、彝、藏等民族医疗体系建设。加快推进县级中医医院提标扩能项目。支持各级医疗机构建设名医馆、国医堂。加强综合医院、专科医院、妇幼保健院等机构中医药科室建设，强化临床科室中医医师配备。推进乡镇卫生院和社区卫生服务中心“中医馆”建设全覆盖。支持社会力量举办中医医疗机构。</w:t>
                  </w:r>
                </w:p>
              </w:tc>
              <w:tc>
                <w:tcPr>
                  <w:tcW w:w="1639" w:type="dxa"/>
                  <w:vAlign w:val="center"/>
                </w:tcPr>
                <w:p>
                  <w:pPr>
                    <w:widowControl/>
                    <w:jc w:val="center"/>
                    <w:rPr>
                      <w:rFonts w:hint="default" w:ascii="宋体" w:hAnsi="宋体" w:eastAsia="宋体" w:cs="宋体"/>
                      <w:bCs/>
                      <w:color w:val="auto"/>
                      <w:kern w:val="0"/>
                      <w:sz w:val="21"/>
                      <w:szCs w:val="21"/>
                      <w:lang w:val="en-US" w:bidi="ar"/>
                    </w:rPr>
                  </w:pPr>
                  <w:r>
                    <w:rPr>
                      <w:rFonts w:hint="eastAsia" w:ascii="宋体" w:hAnsi="宋体" w:eastAsia="宋体" w:cs="宋体"/>
                      <w:color w:val="auto"/>
                      <w:kern w:val="0"/>
                      <w:sz w:val="21"/>
                      <w:szCs w:val="21"/>
                      <w:lang w:val="en-US" w:eastAsia="zh-CN" w:bidi="ar"/>
                    </w:rPr>
                    <w:t>本卫生院开设傣医学科，进行针灸、药敷、药浴等。</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3</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健全老年医学服务网络。以设置老年医学科的综合医院和老年病医院为主体，以基层医疗卫生机构、护理机构、安宁疗护机构等为基础，健全省、州市、县、乡四级老年健康服务网络，提供“预防、治疗、照护”三位一体的老年健康服务，推动老年健康服务从以疾病为中心的单病种模式向以健康为中心的多病共治模式转变。提升基层医疗卫生机构老年医学服务能力，促进老年健康服务向社区和家庭延伸。</w:t>
                  </w:r>
                </w:p>
              </w:tc>
              <w:tc>
                <w:tcPr>
                  <w:tcW w:w="1639"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卫生院开设老年人免费体检服务，</w:t>
                  </w:r>
                  <w:r>
                    <w:rPr>
                      <w:rFonts w:hint="eastAsia" w:ascii="宋体" w:hAnsi="宋体" w:eastAsia="宋体" w:cs="宋体"/>
                      <w:color w:val="auto"/>
                      <w:kern w:val="0"/>
                      <w:sz w:val="21"/>
                      <w:szCs w:val="21"/>
                      <w:lang w:bidi="ar"/>
                    </w:rPr>
                    <w:t>提供“预防、治疗、照护”三位一体的老年健康服务</w:t>
                  </w:r>
                  <w:r>
                    <w:rPr>
                      <w:rFonts w:hint="eastAsia" w:ascii="宋体" w:hAnsi="宋体" w:eastAsia="宋体" w:cs="宋体"/>
                      <w:color w:val="auto"/>
                      <w:kern w:val="0"/>
                      <w:sz w:val="21"/>
                      <w:szCs w:val="21"/>
                      <w:lang w:eastAsia="zh-CN" w:bidi="ar"/>
                    </w:rPr>
                    <w:t>。</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bl>
          <w:p>
            <w:pPr>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bidi="ar"/>
              </w:rPr>
              <w:t>综上所述，项目符合《</w:t>
            </w:r>
            <w:r>
              <w:rPr>
                <w:rFonts w:hint="eastAsia" w:ascii="宋体" w:hAnsi="宋体" w:eastAsia="宋体" w:cs="宋体"/>
                <w:color w:val="auto"/>
                <w:sz w:val="24"/>
                <w:szCs w:val="24"/>
              </w:rPr>
              <w:t>云南省“十四五”医疗卫生服务体系规划</w:t>
            </w:r>
            <w:r>
              <w:rPr>
                <w:rFonts w:hint="eastAsia" w:ascii="宋体" w:hAnsi="宋体" w:eastAsia="宋体" w:cs="宋体"/>
                <w:color w:val="auto"/>
                <w:sz w:val="24"/>
                <w:szCs w:val="24"/>
                <w:lang w:bidi="ar"/>
              </w:rPr>
              <w:t>》的相关要求</w:t>
            </w:r>
            <w:r>
              <w:rPr>
                <w:rFonts w:hint="eastAsia" w:ascii="宋体" w:hAnsi="宋体" w:eastAsia="宋体" w:cs="宋体"/>
                <w:color w:val="auto"/>
                <w:sz w:val="24"/>
                <w:szCs w:val="24"/>
                <w:lang w:eastAsia="zh-CN" w:bidi="ar"/>
              </w:rPr>
              <w:t>。</w:t>
            </w:r>
          </w:p>
          <w:p>
            <w:pPr>
              <w:widowControl/>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rPr>
              <w:t>1.17项目</w:t>
            </w:r>
            <w:r>
              <w:rPr>
                <w:rFonts w:hint="eastAsia" w:ascii="宋体" w:hAnsi="宋体" w:eastAsia="宋体" w:cs="宋体"/>
                <w:b/>
                <w:bCs/>
                <w:color w:val="auto"/>
                <w:kern w:val="0"/>
                <w:sz w:val="24"/>
                <w:szCs w:val="24"/>
                <w:lang w:bidi="ar"/>
              </w:rPr>
              <w:t>与《西双版纳州“十四五”全民医疗保证规划》</w:t>
            </w:r>
            <w:r>
              <w:rPr>
                <w:rFonts w:hint="eastAsia" w:ascii="宋体" w:hAnsi="宋体" w:eastAsia="宋体" w:cs="宋体"/>
                <w:b/>
                <w:bCs/>
                <w:color w:val="auto"/>
                <w:kern w:val="0"/>
                <w:sz w:val="24"/>
                <w:szCs w:val="24"/>
                <w:lang w:eastAsia="zh-CN" w:bidi="ar"/>
              </w:rPr>
              <w:t>（西政办发〔2022 ] 50号）</w:t>
            </w:r>
            <w:r>
              <w:rPr>
                <w:rFonts w:hint="eastAsia" w:ascii="宋体" w:hAnsi="宋体" w:eastAsia="宋体" w:cs="宋体"/>
                <w:b/>
                <w:bCs/>
                <w:color w:val="auto"/>
                <w:kern w:val="0"/>
                <w:sz w:val="24"/>
                <w:szCs w:val="24"/>
                <w:lang w:bidi="ar"/>
              </w:rPr>
              <w:t xml:space="preserve">符合性分析 </w:t>
            </w:r>
          </w:p>
          <w:p>
            <w:pPr>
              <w:adjustRightInd w:val="0"/>
              <w:snapToGrid w:val="0"/>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本项目与《西双版纳州“十四五”全民医疗保证规划》符合性分析见表1-</w:t>
            </w:r>
            <w:r>
              <w:rPr>
                <w:rFonts w:hint="eastAsia" w:ascii="宋体" w:hAnsi="宋体" w:cs="宋体"/>
                <w:color w:val="auto"/>
                <w:kern w:val="0"/>
                <w:sz w:val="24"/>
                <w:szCs w:val="24"/>
                <w:lang w:val="en-US" w:eastAsia="zh-CN" w:bidi="ar"/>
              </w:rPr>
              <w:t>9</w:t>
            </w:r>
            <w:r>
              <w:rPr>
                <w:rFonts w:hint="eastAsia" w:ascii="宋体" w:hAnsi="宋体" w:eastAsia="宋体" w:cs="宋体"/>
                <w:color w:val="auto"/>
                <w:kern w:val="0"/>
                <w:sz w:val="24"/>
                <w:szCs w:val="24"/>
                <w:lang w:bidi="ar"/>
              </w:rPr>
              <w:t>。</w:t>
            </w:r>
          </w:p>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表1-</w:t>
            </w:r>
            <w:r>
              <w:rPr>
                <w:rFonts w:hint="eastAsia" w:ascii="黑体" w:hAnsi="黑体" w:eastAsia="黑体" w:cs="黑体"/>
                <w:color w:val="auto"/>
                <w:sz w:val="21"/>
                <w:szCs w:val="21"/>
                <w:lang w:val="en-US" w:eastAsia="zh-CN"/>
              </w:rPr>
              <w:t>9</w:t>
            </w:r>
            <w:r>
              <w:rPr>
                <w:rFonts w:hint="eastAsia" w:ascii="黑体" w:hAnsi="黑体" w:eastAsia="黑体" w:cs="黑体"/>
                <w:color w:val="auto"/>
                <w:sz w:val="21"/>
                <w:szCs w:val="21"/>
              </w:rPr>
              <w:t xml:space="preserve">  与《西双版纳州“十四五”全民医疗保证规划》符合性分析一览表</w:t>
            </w:r>
          </w:p>
          <w:tbl>
            <w:tblPr>
              <w:tblStyle w:val="26"/>
              <w:tblW w:w="6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3939"/>
              <w:gridCol w:w="1639"/>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序号</w:t>
                  </w:r>
                </w:p>
              </w:tc>
              <w:tc>
                <w:tcPr>
                  <w:tcW w:w="39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《西双版纳州“十四五”全民医疗保证规划》要求</w:t>
                  </w:r>
                </w:p>
              </w:tc>
              <w:tc>
                <w:tcPr>
                  <w:tcW w:w="16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本项目情况</w:t>
                  </w:r>
                </w:p>
              </w:tc>
              <w:tc>
                <w:tcPr>
                  <w:tcW w:w="848"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1</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完善基本医疗保险制度。坚持覆盖全民、依法参加的基本医疗保险制度，坚持基本医疗保险保基本的定位，完善职工医保与居民医保分类保障机制，待遇与缴费挂钩，基金实行专户管理，分别建账、分账核算。稳定基本医疗保险住院待遇，稳步提高门诊待遇，做好门诊待遇和住院待遇统筹衔接，加强妇女儿童医疗保障工作。健全完善职工医保门诊共济保障机制，改革职工医保个人账户。巩固完善城乡居民基本医疗保险门诊保障政策，完善基本医疗保险门诊特殊病慢性病保障机制。</w:t>
                  </w:r>
                </w:p>
              </w:tc>
              <w:tc>
                <w:tcPr>
                  <w:tcW w:w="1639"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本卫生院属于</w:t>
                  </w:r>
                  <w:r>
                    <w:rPr>
                      <w:rFonts w:hint="eastAsia" w:ascii="宋体" w:hAnsi="宋体" w:eastAsia="宋体" w:cs="宋体"/>
                      <w:color w:val="auto"/>
                      <w:kern w:val="0"/>
                      <w:sz w:val="21"/>
                      <w:szCs w:val="21"/>
                      <w:lang w:bidi="ar"/>
                    </w:rPr>
                    <w:t>医保定点</w:t>
                  </w:r>
                  <w:r>
                    <w:rPr>
                      <w:rFonts w:hint="eastAsia" w:ascii="宋体" w:hAnsi="宋体" w:eastAsia="宋体" w:cs="宋体"/>
                      <w:color w:val="auto"/>
                      <w:kern w:val="0"/>
                      <w:sz w:val="21"/>
                      <w:szCs w:val="21"/>
                      <w:lang w:val="en-US" w:eastAsia="zh-CN" w:bidi="ar"/>
                    </w:rPr>
                    <w:t>医院，并支持医保异地结算。</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eastAsia="zh-CN" w:bidi="ar"/>
                    </w:rPr>
                  </w:pPr>
                  <w:r>
                    <w:rPr>
                      <w:rFonts w:hint="eastAsia" w:ascii="宋体" w:hAnsi="宋体" w:eastAsia="宋体" w:cs="宋体"/>
                      <w:bCs/>
                      <w:color w:val="auto"/>
                      <w:kern w:val="0"/>
                      <w:sz w:val="21"/>
                      <w:szCs w:val="21"/>
                      <w:lang w:val="en-US" w:eastAsia="zh-CN" w:bidi="ar"/>
                    </w:rPr>
                    <w:t>2</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完善和规范医保协议管理。全面落实医疗保障定点医疗机构、医疗保障定点零售药店管理办法。规范医保经办机构、定点医药机构与医保行政部门管理责权关系。规范医保定点协议管理，制定并完善医疗保障服务协议范本，扩大定点覆盖面，将更多符合条件的基层医疗机构纳入医保定点范围，优化医药机构定点申请、专业评估、协商谈判程序，加强事中、事后监管。建立健全跨区域就医协议管理机制。健全医保经办机构与定点医疗机构之间协商谈判机制，平衡医保基金和医疗服务机构利益，构建多方利益趋同的新型服务供需格局。推进定点医药机构医保精细化管理，加强考核监督，建立定点医药机构考核评价和退出机制，完善绩效考核办法，推动定点医药机构绩效考核结果与医保基金支付挂钩。强化针对不同支付方式的医疗服务行为监督管理，健全与医疗质量、协议履行绩效考核结果相挂钩机制、医保基金预付及结算管理机制。</w:t>
                  </w:r>
                </w:p>
              </w:tc>
              <w:tc>
                <w:tcPr>
                  <w:tcW w:w="1639"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本卫生院属于医保定点医院。</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3</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探索开展符合中（傣）医药特点的医保支付方式。探索推进以傣医医疗集团为基础的医保基金打包付费改革，提高医疗机构开展傣医药服务的积极性，引导基层医疗机构提供适宜的中(傣）医药服务。完善中（傣）医药服务医保支付政策，支持建立科学可行的傣医门诊、住院诊疗规范和以此为基础的医保支付标准。及时对新增傣医医疗服务项目进行医保定价并纳入支付。落实国家和省发布中（傣）医优势病种支付政策。完善对医疗机构院内制剂的支付支持政策，鼓励临床应用。积极配合地方特色中（傣）药饮片制订质量标准及炮制规范，并及时增补进医保药品支付目录。</w:t>
                  </w:r>
                </w:p>
              </w:tc>
              <w:tc>
                <w:tcPr>
                  <w:tcW w:w="1639"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本卫生院傣医学科诊疗服务纳入医保结算范围</w:t>
                  </w:r>
                </w:p>
              </w:tc>
              <w:tc>
                <w:tcPr>
                  <w:tcW w:w="848"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4</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全面落实药品和医用耗材集中带量采购制度改革任务。坚持招采合一、量价挂钩，推进药品和医用耗材集中带量采购常态化、制度化，引导药品和医用耗材价格回归合理水平。抓实国家和省组织药品和高值医用耗材集中采购政策要求，完善集中采购配套政策。建立完善医药价格和信用评价制度，推进并规范医保基金与医药企业直接结算，完善医保支付标准与集中采购价格协同机制。健全与集中带量采购相配套的激励约束机制，落实医保资金结余留用政策，推动集中带量采购成为公立医疗机构医药采购的主导模式，鼓励社会办医疗机构、定点零售药店参与集中带量采购，促进中选产品优先、合理使用。完善监督考核机制，规范配送行为，提高药品和医用耗材配送保障能力，保证基层用药需求。</w:t>
                  </w:r>
                </w:p>
              </w:tc>
              <w:tc>
                <w:tcPr>
                  <w:tcW w:w="1639"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本项目药品采购采取集中带量采购，促进</w:t>
                  </w:r>
                  <w:r>
                    <w:rPr>
                      <w:rFonts w:hint="eastAsia" w:ascii="宋体" w:hAnsi="宋体" w:eastAsia="宋体" w:cs="宋体"/>
                      <w:color w:val="auto"/>
                      <w:kern w:val="0"/>
                      <w:sz w:val="21"/>
                      <w:szCs w:val="21"/>
                      <w:lang w:bidi="ar"/>
                    </w:rPr>
                    <w:t>药品和医用耗材价格回归合理水平。</w:t>
                  </w:r>
                </w:p>
              </w:tc>
              <w:tc>
                <w:tcPr>
                  <w:tcW w:w="848"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5</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增强医药服务可及性。积极配合完善区域医疗卫生规划和医疗机构设置规划，健全城市三级医院、县级医院和基层医疗卫生机构分工协作的现代医疗服务体系，推进基层医疗机构发展和分级诊疗体系建设。推行慢性病或特殊情况下的长处方制度。支持中（傣）医药传承创新发展，强化中（傣）医药在疾病预防治疗中的作用，推广中（傣）医治未病干预方案，增强中（傣）医可及性。补齐老年医学、精神、传染、急诊、护理等医学学科的紧缺医疗服务短板，促进产科、儿科等特需医疗服务发展。鼓励日间手术、多学科诊疗、无痛诊疗等医疗服务发展。优化药品储备结构，加强易短缺药品的储备和管理。支持傣药和院内制剂的研发和使用;支持定点零售药店连锁化、专业化、数字化发展，更好发挥药店的独特优势和药师作用。依托医疗保障信息平台，支持电子处方流转。</w:t>
                  </w:r>
                </w:p>
              </w:tc>
              <w:tc>
                <w:tcPr>
                  <w:tcW w:w="1639"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eastAsia="宋体" w:cs="宋体"/>
                      <w:color w:val="auto"/>
                      <w:kern w:val="0"/>
                      <w:sz w:val="21"/>
                      <w:szCs w:val="21"/>
                      <w:lang w:val="en-US" w:eastAsia="zh-CN" w:bidi="ar"/>
                    </w:rPr>
                    <w:t>本卫生院开设傣医学科，进行针灸、药敷、药浴等。卫生院下一步计划开设手术治疗</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依托医疗保障信息平台，支持电子处方流转。</w:t>
                  </w:r>
                </w:p>
              </w:tc>
              <w:tc>
                <w:tcPr>
                  <w:tcW w:w="848"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6</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持续完善异地就医直接结算服务。进一步完善异地就医直接结算制度，简化、优化异地就医备案手续，完善医疗机构、经办窗口、电话、线上客户端、备案小程序等多渠道备案方式，积极推行备案承诺制。全面实行自助开通异地就医直接结算服务，逐步实现住院、门诊费用线上线下一体化的异地就医结算服务。落实省内、跨省医疗保障直接结算互联互通工作机制，推进门诊费用跨省异地就医直接结算，扩大异地就医支付范围，实现全州定点医药机构异地就医直接结算全覆盖。</w:t>
                  </w:r>
                </w:p>
              </w:tc>
              <w:tc>
                <w:tcPr>
                  <w:tcW w:w="1639" w:type="dxa"/>
                  <w:vAlign w:val="center"/>
                </w:tcPr>
                <w:p>
                  <w:pPr>
                    <w:widowControl/>
                    <w:jc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本卫生院支持医保异地结算</w:t>
                  </w:r>
                </w:p>
              </w:tc>
              <w:tc>
                <w:tcPr>
                  <w:tcW w:w="848"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7</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持续推进医保电子凭证普遍应用。实现所有医保经办机构和定点医药机构支持医保电子凭证应用，拓展医保电子凭证应用场景，全州定点医疗机构实现医保移动支付，推进医保电子凭证在公共服务方面发挥更大作用，加快形成以医保电子凭证为载体的医保“一码通”服务管理新模式。</w:t>
                  </w:r>
                </w:p>
              </w:tc>
              <w:tc>
                <w:tcPr>
                  <w:tcW w:w="1639" w:type="dxa"/>
                  <w:vAlign w:val="center"/>
                </w:tcPr>
                <w:p>
                  <w:pPr>
                    <w:widowControl/>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本卫生院支持</w:t>
                  </w:r>
                  <w:r>
                    <w:rPr>
                      <w:rFonts w:hint="eastAsia" w:ascii="宋体" w:hAnsi="宋体" w:eastAsia="宋体" w:cs="宋体"/>
                      <w:color w:val="auto"/>
                      <w:kern w:val="0"/>
                      <w:sz w:val="21"/>
                      <w:szCs w:val="21"/>
                      <w:lang w:bidi="ar"/>
                    </w:rPr>
                    <w:t>医保电子凭证应用</w:t>
                  </w:r>
                </w:p>
              </w:tc>
              <w:tc>
                <w:tcPr>
                  <w:tcW w:w="848"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cs="宋体"/>
                      <w:color w:val="auto"/>
                      <w:sz w:val="21"/>
                      <w:szCs w:val="21"/>
                      <w:lang w:val="en-US" w:eastAsia="zh-CN"/>
                    </w:rPr>
                    <w:t>符合</w:t>
                  </w:r>
                </w:p>
              </w:tc>
            </w:tr>
          </w:tbl>
          <w:p>
            <w:pPr>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bidi="ar"/>
              </w:rPr>
              <w:t>综上所述，项目符合《</w:t>
            </w:r>
            <w:r>
              <w:rPr>
                <w:rFonts w:hint="eastAsia" w:ascii="宋体" w:hAnsi="宋体" w:eastAsia="宋体" w:cs="宋体"/>
                <w:color w:val="auto"/>
                <w:sz w:val="24"/>
                <w:szCs w:val="24"/>
              </w:rPr>
              <w:t>西双版纳州“十四五”全民医疗保证规划</w:t>
            </w:r>
            <w:r>
              <w:rPr>
                <w:rFonts w:hint="eastAsia" w:ascii="宋体" w:hAnsi="宋体" w:eastAsia="宋体" w:cs="宋体"/>
                <w:color w:val="auto"/>
                <w:sz w:val="24"/>
                <w:szCs w:val="24"/>
                <w:lang w:bidi="ar"/>
              </w:rPr>
              <w:t>》的相关要求</w:t>
            </w:r>
            <w:r>
              <w:rPr>
                <w:rFonts w:hint="eastAsia" w:ascii="宋体" w:hAnsi="宋体" w:eastAsia="宋体" w:cs="宋体"/>
                <w:color w:val="auto"/>
                <w:sz w:val="24"/>
                <w:szCs w:val="24"/>
                <w:lang w:eastAsia="zh-CN" w:bidi="ar"/>
              </w:rPr>
              <w:t>。</w:t>
            </w:r>
          </w:p>
          <w:p>
            <w:pPr>
              <w:widowControl/>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rPr>
              <w:t>1.18项目</w:t>
            </w:r>
            <w:r>
              <w:rPr>
                <w:rFonts w:hint="eastAsia" w:ascii="宋体" w:hAnsi="宋体" w:eastAsia="宋体" w:cs="宋体"/>
                <w:b/>
                <w:bCs/>
                <w:color w:val="auto"/>
                <w:kern w:val="0"/>
                <w:sz w:val="24"/>
                <w:szCs w:val="24"/>
                <w:lang w:bidi="ar"/>
              </w:rPr>
              <w:t>与《医院污水处理工程技术规范》</w:t>
            </w:r>
            <w:r>
              <w:rPr>
                <w:rFonts w:hint="eastAsia" w:ascii="宋体" w:hAnsi="宋体" w:eastAsia="宋体" w:cs="宋体"/>
                <w:b/>
                <w:bCs/>
                <w:color w:val="auto"/>
                <w:kern w:val="0"/>
                <w:sz w:val="24"/>
                <w:szCs w:val="24"/>
                <w:lang w:eastAsia="zh-CN" w:bidi="ar"/>
              </w:rPr>
              <w:t>（</w:t>
            </w:r>
            <w:r>
              <w:rPr>
                <w:rFonts w:hint="eastAsia" w:ascii="宋体" w:hAnsi="宋体" w:eastAsia="宋体" w:cs="宋体"/>
                <w:b/>
                <w:bCs/>
                <w:color w:val="auto"/>
                <w:kern w:val="0"/>
                <w:sz w:val="24"/>
                <w:szCs w:val="24"/>
                <w:lang w:bidi="ar"/>
              </w:rPr>
              <w:t>HJ2029——2013</w:t>
            </w:r>
            <w:r>
              <w:rPr>
                <w:rFonts w:hint="eastAsia" w:ascii="宋体" w:hAnsi="宋体" w:eastAsia="宋体" w:cs="宋体"/>
                <w:b/>
                <w:bCs/>
                <w:color w:val="auto"/>
                <w:kern w:val="0"/>
                <w:sz w:val="24"/>
                <w:szCs w:val="24"/>
                <w:lang w:eastAsia="zh-CN" w:bidi="ar"/>
              </w:rPr>
              <w:t>）</w:t>
            </w:r>
            <w:r>
              <w:rPr>
                <w:rFonts w:hint="eastAsia" w:ascii="宋体" w:hAnsi="宋体" w:eastAsia="宋体" w:cs="宋体"/>
                <w:b/>
                <w:bCs/>
                <w:color w:val="auto"/>
                <w:kern w:val="0"/>
                <w:sz w:val="24"/>
                <w:szCs w:val="24"/>
                <w:lang w:bidi="ar"/>
              </w:rPr>
              <w:t xml:space="preserve">符合性分析 </w:t>
            </w:r>
          </w:p>
          <w:p>
            <w:pPr>
              <w:adjustRightInd w:val="0"/>
              <w:snapToGrid w:val="0"/>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本项目与《医院污水处理工程技术规范》符合性分析见表1-</w:t>
            </w:r>
            <w:r>
              <w:rPr>
                <w:rFonts w:hint="eastAsia" w:ascii="宋体" w:hAnsi="宋体" w:cs="宋体"/>
                <w:color w:val="auto"/>
                <w:kern w:val="0"/>
                <w:sz w:val="24"/>
                <w:szCs w:val="24"/>
                <w:lang w:val="en-US" w:eastAsia="zh-CN" w:bidi="ar"/>
              </w:rPr>
              <w:t>10</w:t>
            </w:r>
            <w:r>
              <w:rPr>
                <w:rFonts w:hint="eastAsia" w:ascii="宋体" w:hAnsi="宋体" w:eastAsia="宋体" w:cs="宋体"/>
                <w:color w:val="auto"/>
                <w:kern w:val="0"/>
                <w:sz w:val="24"/>
                <w:szCs w:val="24"/>
                <w:lang w:bidi="ar"/>
              </w:rPr>
              <w:t>。</w:t>
            </w:r>
          </w:p>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表1-</w:t>
            </w:r>
            <w:r>
              <w:rPr>
                <w:rFonts w:hint="eastAsia" w:ascii="黑体" w:hAnsi="黑体" w:eastAsia="黑体" w:cs="黑体"/>
                <w:color w:val="auto"/>
                <w:sz w:val="21"/>
                <w:szCs w:val="21"/>
                <w:lang w:val="en-US" w:eastAsia="zh-CN"/>
              </w:rPr>
              <w:t>10</w:t>
            </w:r>
            <w:r>
              <w:rPr>
                <w:rFonts w:hint="eastAsia" w:ascii="黑体" w:hAnsi="黑体" w:eastAsia="黑体" w:cs="黑体"/>
                <w:color w:val="auto"/>
                <w:sz w:val="21"/>
                <w:szCs w:val="21"/>
              </w:rPr>
              <w:t xml:space="preserve">  与《医院污水处理工程技术规范》符合性分析一览表</w:t>
            </w:r>
          </w:p>
          <w:tbl>
            <w:tblPr>
              <w:tblStyle w:val="26"/>
              <w:tblW w:w="6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3939"/>
              <w:gridCol w:w="1639"/>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序号</w:t>
                  </w:r>
                </w:p>
              </w:tc>
              <w:tc>
                <w:tcPr>
                  <w:tcW w:w="39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《医院污水处理工程技术规范》要求</w:t>
                  </w:r>
                </w:p>
              </w:tc>
              <w:tc>
                <w:tcPr>
                  <w:tcW w:w="16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本项目情况</w:t>
                  </w:r>
                </w:p>
              </w:tc>
              <w:tc>
                <w:tcPr>
                  <w:tcW w:w="848"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1</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4.1.3特殊性质污水应单独收集，经预处理后与医院污水合并处理，不得将特殊性质污水随意排入下水道。</w:t>
                  </w:r>
                </w:p>
                <w:p>
                  <w:pPr>
                    <w:adjustRightInd w:val="0"/>
                    <w:snapToGrid w:val="0"/>
                    <w:ind w:firstLine="420" w:firstLineChars="200"/>
                    <w:rPr>
                      <w:rFonts w:hint="eastAsia" w:ascii="宋体" w:hAnsi="宋体" w:eastAsia="宋体" w:cs="宋体"/>
                      <w:color w:val="auto"/>
                      <w:kern w:val="0"/>
                      <w:sz w:val="21"/>
                      <w:szCs w:val="21"/>
                      <w:lang w:bidi="ar"/>
                    </w:rPr>
                  </w:pPr>
                </w:p>
              </w:tc>
              <w:tc>
                <w:tcPr>
                  <w:tcW w:w="1639" w:type="dxa"/>
                  <w:vAlign w:val="center"/>
                </w:tcPr>
                <w:p>
                  <w:pPr>
                    <w:widowControl/>
                    <w:jc w:val="center"/>
                    <w:rPr>
                      <w:rFonts w:hint="default" w:ascii="宋体" w:hAnsi="宋体" w:eastAsia="宋体" w:cs="宋体"/>
                      <w:bCs/>
                      <w:color w:val="auto"/>
                      <w:kern w:val="0"/>
                      <w:sz w:val="21"/>
                      <w:szCs w:val="21"/>
                      <w:lang w:val="en-US" w:bidi="ar"/>
                    </w:rPr>
                  </w:pPr>
                  <w:r>
                    <w:rPr>
                      <w:rFonts w:hint="eastAsia" w:ascii="宋体" w:hAnsi="宋体" w:eastAsia="宋体" w:cs="宋体"/>
                      <w:color w:val="auto"/>
                      <w:sz w:val="21"/>
                      <w:szCs w:val="21"/>
                      <w:u w:val="none"/>
                      <w:lang w:val="en-US" w:eastAsia="zh-CN"/>
                    </w:rPr>
                    <w:t>本卫生院检验科产生的酸性废水属特殊性质污水，环评提出单独收集，中和消毒后排入化粪池。</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2</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5.1.6医院污水处理构筑物应采取防腐蚀、防渗漏、防冻等技术措施，各种构筑物宣加盖密闭，并设通气装置。</w:t>
                  </w:r>
                </w:p>
                <w:p>
                  <w:pPr>
                    <w:adjustRightInd w:val="0"/>
                    <w:snapToGrid w:val="0"/>
                    <w:ind w:firstLine="420" w:firstLineChars="200"/>
                    <w:rPr>
                      <w:rFonts w:hint="eastAsia" w:ascii="宋体" w:hAnsi="宋体" w:eastAsia="宋体" w:cs="宋体"/>
                      <w:color w:val="auto"/>
                      <w:kern w:val="0"/>
                      <w:sz w:val="21"/>
                      <w:szCs w:val="21"/>
                      <w:lang w:bidi="ar"/>
                    </w:rPr>
                  </w:pPr>
                </w:p>
              </w:tc>
              <w:tc>
                <w:tcPr>
                  <w:tcW w:w="1639" w:type="dxa"/>
                  <w:vAlign w:val="center"/>
                </w:tcPr>
                <w:p>
                  <w:pPr>
                    <w:widowControl/>
                    <w:jc w:val="center"/>
                    <w:rPr>
                      <w:rFonts w:hint="default" w:ascii="宋体" w:hAnsi="宋体" w:eastAsia="宋体" w:cs="宋体"/>
                      <w:bCs/>
                      <w:color w:val="auto"/>
                      <w:kern w:val="0"/>
                      <w:sz w:val="21"/>
                      <w:szCs w:val="21"/>
                      <w:lang w:val="en-US" w:bidi="ar"/>
                    </w:rPr>
                  </w:pPr>
                  <w:r>
                    <w:rPr>
                      <w:rFonts w:hint="eastAsia" w:ascii="宋体" w:hAnsi="宋体" w:eastAsia="宋体" w:cs="宋体"/>
                      <w:color w:val="auto"/>
                      <w:kern w:val="0"/>
                      <w:sz w:val="21"/>
                      <w:szCs w:val="21"/>
                      <w:lang w:val="en-US" w:eastAsia="zh-CN" w:bidi="ar"/>
                    </w:rPr>
                    <w:t>本项目污水处理装置均采取</w:t>
                  </w:r>
                  <w:r>
                    <w:rPr>
                      <w:rFonts w:hint="eastAsia" w:ascii="宋体" w:hAnsi="宋体" w:cs="宋体"/>
                      <w:color w:val="auto"/>
                      <w:kern w:val="0"/>
                      <w:sz w:val="21"/>
                      <w:szCs w:val="21"/>
                      <w:lang w:val="en-US" w:eastAsia="zh-CN" w:bidi="ar"/>
                    </w:rPr>
                    <w:t>抗渗混凝土</w:t>
                  </w:r>
                  <w:r>
                    <w:rPr>
                      <w:rFonts w:hint="eastAsia" w:ascii="宋体" w:hAnsi="宋体" w:eastAsia="宋体" w:cs="宋体"/>
                      <w:color w:val="auto"/>
                      <w:kern w:val="0"/>
                      <w:sz w:val="21"/>
                      <w:szCs w:val="21"/>
                      <w:lang w:val="en-US" w:eastAsia="zh-CN" w:bidi="ar"/>
                    </w:rPr>
                    <w:t>＋防渗膜的防渗措施，属于地下室并加盖密闭，设通气装置。</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3</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5.1.9医院污水处理过程产生的污泥、废渣的堆放应符合《医疗废物集中处置技术规范》、HJ/T177-2005及 HI/T 276-2006的有关规定。渗出液、沥下液应收集并返回调节池。</w:t>
                  </w:r>
                </w:p>
                <w:p>
                  <w:pPr>
                    <w:adjustRightInd w:val="0"/>
                    <w:snapToGrid w:val="0"/>
                    <w:ind w:firstLine="420" w:firstLineChars="200"/>
                    <w:rPr>
                      <w:rFonts w:hint="eastAsia" w:ascii="宋体" w:hAnsi="宋体" w:eastAsia="宋体" w:cs="宋体"/>
                      <w:color w:val="auto"/>
                      <w:kern w:val="0"/>
                      <w:sz w:val="21"/>
                      <w:szCs w:val="21"/>
                      <w:lang w:bidi="ar"/>
                    </w:rPr>
                  </w:pPr>
                </w:p>
              </w:tc>
              <w:tc>
                <w:tcPr>
                  <w:tcW w:w="1639"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污水处理污泥按照危险废物处置，设污泥暂存池，用石灰消毒后委托资质单位处置。</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4</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5.2.2主体工程主要包括医院污水处理系统、污泥处理系统、废气处理系统等。医院污水处理系统主要包括预处理、一级处理、二级处理、深度处理和消毒处理等单元。</w:t>
                  </w:r>
                </w:p>
                <w:p>
                  <w:pPr>
                    <w:adjustRightInd w:val="0"/>
                    <w:snapToGrid w:val="0"/>
                    <w:ind w:firstLine="420" w:firstLineChars="200"/>
                    <w:rPr>
                      <w:rFonts w:hint="eastAsia" w:ascii="宋体" w:hAnsi="宋体" w:eastAsia="宋体" w:cs="宋体"/>
                      <w:color w:val="auto"/>
                      <w:kern w:val="0"/>
                      <w:sz w:val="21"/>
                      <w:szCs w:val="21"/>
                      <w:lang w:bidi="ar"/>
                    </w:rPr>
                  </w:pPr>
                </w:p>
              </w:tc>
              <w:tc>
                <w:tcPr>
                  <w:tcW w:w="1639"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本项目污水处理工艺为</w:t>
                  </w:r>
                  <w:r>
                    <w:rPr>
                      <w:rFonts w:hint="eastAsia" w:ascii="宋体" w:hAnsi="宋体" w:eastAsia="宋体" w:cs="宋体"/>
                      <w:b w:val="0"/>
                      <w:bCs w:val="0"/>
                      <w:color w:val="auto"/>
                      <w:sz w:val="21"/>
                      <w:szCs w:val="21"/>
                      <w:lang w:eastAsia="zh-CN"/>
                    </w:rPr>
                    <w:t>二级生化</w:t>
                  </w:r>
                  <w:r>
                    <w:rPr>
                      <w:rFonts w:hint="eastAsia" w:ascii="宋体" w:hAnsi="宋体" w:eastAsia="宋体" w:cs="宋体"/>
                      <w:b w:val="0"/>
                      <w:bCs w:val="0"/>
                      <w:color w:val="auto"/>
                      <w:sz w:val="21"/>
                      <w:szCs w:val="21"/>
                    </w:rPr>
                    <w:t>处理</w:t>
                  </w:r>
                  <w:r>
                    <w:rPr>
                      <w:rFonts w:hint="eastAsia" w:ascii="宋体" w:hAnsi="宋体" w:eastAsia="宋体" w:cs="宋体"/>
                      <w:b w:val="0"/>
                      <w:bCs w:val="0"/>
                      <w:color w:val="auto"/>
                      <w:sz w:val="21"/>
                      <w:szCs w:val="21"/>
                      <w:lang w:eastAsia="zh-CN"/>
                    </w:rPr>
                    <w:t>工艺</w:t>
                  </w:r>
                  <w:r>
                    <w:rPr>
                      <w:rFonts w:hint="eastAsia" w:ascii="宋体" w:hAnsi="宋体" w:eastAsia="宋体" w:cs="宋体"/>
                      <w:b w:val="0"/>
                      <w:bCs w:val="0"/>
                      <w:color w:val="auto"/>
                      <w:sz w:val="21"/>
                      <w:szCs w:val="21"/>
                    </w:rPr>
                    <w:t>+消毒工艺，污水处理工艺选用</w:t>
                  </w:r>
                  <w:r>
                    <w:rPr>
                      <w:rFonts w:hint="eastAsia" w:ascii="宋体" w:hAnsi="宋体" w:eastAsia="宋体" w:cs="宋体"/>
                      <w:b w:val="0"/>
                      <w:bCs w:val="0"/>
                      <w:color w:val="auto"/>
                      <w:sz w:val="21"/>
                      <w:szCs w:val="21"/>
                      <w:lang w:val="en-US" w:eastAsia="zh-CN"/>
                    </w:rPr>
                    <w:t>AO</w:t>
                  </w:r>
                  <w:r>
                    <w:rPr>
                      <w:rFonts w:hint="eastAsia" w:ascii="宋体" w:hAnsi="宋体" w:eastAsia="宋体" w:cs="宋体"/>
                      <w:b w:val="0"/>
                      <w:bCs w:val="0"/>
                      <w:color w:val="auto"/>
                      <w:sz w:val="21"/>
                      <w:szCs w:val="21"/>
                    </w:rPr>
                    <w:t>生物接触氧化工艺，消毒技术使用</w:t>
                  </w:r>
                  <w:r>
                    <w:rPr>
                      <w:rFonts w:hint="eastAsia" w:ascii="宋体" w:hAnsi="宋体" w:eastAsia="宋体" w:cs="宋体"/>
                      <w:b w:val="0"/>
                      <w:bCs w:val="0"/>
                      <w:color w:val="auto"/>
                      <w:sz w:val="21"/>
                      <w:szCs w:val="21"/>
                      <w:lang w:val="en-US" w:eastAsia="zh-CN"/>
                    </w:rPr>
                    <w:t>臭氧消毒</w:t>
                  </w:r>
                  <w:r>
                    <w:rPr>
                      <w:rFonts w:hint="eastAsia" w:ascii="宋体" w:hAnsi="宋体" w:eastAsia="宋体" w:cs="宋体"/>
                      <w:b w:val="0"/>
                      <w:bCs w:val="0"/>
                      <w:color w:val="auto"/>
                      <w:sz w:val="21"/>
                      <w:szCs w:val="21"/>
                    </w:rPr>
                    <w:t>工艺。</w:t>
                  </w:r>
                </w:p>
              </w:tc>
              <w:tc>
                <w:tcPr>
                  <w:tcW w:w="848"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5</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7.1.4鼓风机应选用低噪声、高效低耗产品，出口风压应稳定，宜选用罗茨鼓风机。</w:t>
                  </w:r>
                </w:p>
              </w:tc>
              <w:tc>
                <w:tcPr>
                  <w:tcW w:w="1639"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污水处理站鼓风机为</w:t>
                  </w:r>
                  <w:r>
                    <w:rPr>
                      <w:rFonts w:hint="eastAsia" w:ascii="宋体" w:hAnsi="宋体" w:eastAsia="宋体" w:cs="宋体"/>
                      <w:color w:val="auto"/>
                      <w:kern w:val="0"/>
                      <w:sz w:val="21"/>
                      <w:szCs w:val="21"/>
                      <w:lang w:bidi="ar"/>
                    </w:rPr>
                    <w:t>罗茨鼓风机</w:t>
                  </w:r>
                </w:p>
              </w:tc>
              <w:tc>
                <w:tcPr>
                  <w:tcW w:w="848"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cs="宋体"/>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bCs/>
                      <w:color w:val="auto"/>
                      <w:kern w:val="0"/>
                      <w:sz w:val="21"/>
                      <w:szCs w:val="21"/>
                      <w:lang w:val="en-US" w:eastAsia="zh-CN" w:bidi="ar"/>
                    </w:rPr>
                    <w:t>6</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12.4.1医院污水处理工程应设应急事故池，以贮存处理系统事故或其它突发事件时医院污水。传染病医院污水处理工程应急事故池容积不小于日排放量的 100%，非传染病医院污水处理工程应急事故池容积不小于日排放量的30%</w:t>
                  </w:r>
                </w:p>
                <w:p>
                  <w:pPr>
                    <w:adjustRightInd w:val="0"/>
                    <w:snapToGrid w:val="0"/>
                    <w:ind w:firstLine="420" w:firstLineChars="200"/>
                    <w:rPr>
                      <w:rFonts w:hint="eastAsia" w:ascii="宋体" w:hAnsi="宋体" w:eastAsia="宋体" w:cs="宋体"/>
                      <w:color w:val="auto"/>
                      <w:kern w:val="0"/>
                      <w:sz w:val="21"/>
                      <w:szCs w:val="21"/>
                      <w:lang w:bidi="ar"/>
                    </w:rPr>
                  </w:pPr>
                </w:p>
              </w:tc>
              <w:tc>
                <w:tcPr>
                  <w:tcW w:w="1639" w:type="dxa"/>
                  <w:vAlign w:val="center"/>
                </w:tcPr>
                <w:p>
                  <w:pPr>
                    <w:widowControl/>
                    <w:jc w:val="center"/>
                    <w:rPr>
                      <w:rFonts w:hint="eastAsia" w:ascii="宋体" w:hAnsi="宋体" w:eastAsia="宋体" w:cs="宋体"/>
                      <w:bCs/>
                      <w:color w:val="auto"/>
                      <w:kern w:val="0"/>
                      <w:sz w:val="21"/>
                      <w:szCs w:val="21"/>
                      <w:lang w:val="en-US" w:eastAsia="zh-CN" w:bidi="ar"/>
                    </w:rPr>
                  </w:pPr>
                  <w:r>
                    <w:rPr>
                      <w:rFonts w:hint="eastAsia" w:ascii="宋体" w:hAnsi="宋体" w:eastAsia="宋体" w:cs="宋体"/>
                      <w:color w:val="auto"/>
                      <w:kern w:val="0"/>
                      <w:sz w:val="21"/>
                      <w:szCs w:val="21"/>
                      <w:lang w:val="en-US" w:eastAsia="zh-CN" w:bidi="ar"/>
                    </w:rPr>
                    <w:t>环评提出</w:t>
                  </w:r>
                  <w:r>
                    <w:rPr>
                      <w:rFonts w:hint="eastAsia" w:ascii="宋体" w:hAnsi="宋体" w:eastAsia="宋体" w:cs="宋体"/>
                      <w:color w:val="auto"/>
                      <w:kern w:val="0"/>
                      <w:sz w:val="21"/>
                      <w:szCs w:val="21"/>
                      <w:lang w:bidi="ar"/>
                    </w:rPr>
                    <w:t>项目应在一体化污水处理设备附近设置1个</w:t>
                  </w:r>
                  <w:r>
                    <w:rPr>
                      <w:rFonts w:hint="eastAsia" w:ascii="宋体" w:hAnsi="宋体" w:cs="宋体"/>
                      <w:color w:val="auto"/>
                      <w:kern w:val="0"/>
                      <w:sz w:val="21"/>
                      <w:szCs w:val="21"/>
                      <w:lang w:val="en-US" w:eastAsia="zh-CN" w:bidi="ar"/>
                    </w:rPr>
                    <w:t>容积</w:t>
                  </w:r>
                  <w:r>
                    <w:rPr>
                      <w:rFonts w:hint="eastAsia" w:ascii="宋体" w:hAnsi="宋体" w:eastAsia="宋体" w:cs="宋体"/>
                      <w:color w:val="auto"/>
                      <w:kern w:val="0"/>
                      <w:sz w:val="21"/>
                      <w:szCs w:val="21"/>
                      <w:lang w:bidi="ar"/>
                    </w:rPr>
                    <w:t>不小于3m</w:t>
                  </w:r>
                  <w:r>
                    <w:rPr>
                      <w:rFonts w:hint="eastAsia" w:ascii="宋体" w:hAnsi="宋体" w:eastAsia="宋体" w:cs="宋体"/>
                      <w:color w:val="auto"/>
                      <w:kern w:val="0"/>
                      <w:sz w:val="21"/>
                      <w:szCs w:val="21"/>
                      <w:vertAlign w:val="superscript"/>
                      <w:lang w:bidi="ar"/>
                    </w:rPr>
                    <w:t>3</w:t>
                  </w:r>
                  <w:r>
                    <w:rPr>
                      <w:rFonts w:hint="eastAsia" w:ascii="宋体" w:hAnsi="宋体" w:cs="宋体"/>
                      <w:color w:val="auto"/>
                      <w:kern w:val="0"/>
                      <w:sz w:val="21"/>
                      <w:szCs w:val="21"/>
                      <w:vertAlign w:val="baseline"/>
                      <w:lang w:val="en-US" w:eastAsia="zh-CN" w:bidi="ar"/>
                    </w:rPr>
                    <w:t>的</w:t>
                  </w:r>
                  <w:r>
                    <w:rPr>
                      <w:rFonts w:hint="eastAsia" w:ascii="宋体" w:hAnsi="宋体" w:eastAsia="宋体" w:cs="宋体"/>
                      <w:color w:val="auto"/>
                      <w:kern w:val="0"/>
                      <w:sz w:val="21"/>
                      <w:szCs w:val="21"/>
                      <w:lang w:bidi="ar"/>
                    </w:rPr>
                    <w:t>废水事故池，位于项目污水处理站附近，用于存储事故状态废水。对</w:t>
                  </w:r>
                  <w:r>
                    <w:rPr>
                      <w:rFonts w:hint="eastAsia" w:ascii="宋体" w:hAnsi="宋体" w:eastAsia="宋体" w:cs="宋体"/>
                      <w:color w:val="auto"/>
                      <w:sz w:val="21"/>
                      <w:szCs w:val="21"/>
                    </w:rPr>
                    <w:t>地面和1米高的墙裙进行防渗处理，采用2mm厚高密度聚乙烯防渗材料，渗透系数≤1.0×10</w:t>
                  </w:r>
                  <w:r>
                    <w:rPr>
                      <w:rFonts w:hint="eastAsia" w:ascii="宋体" w:hAnsi="宋体" w:cs="宋体"/>
                      <w:color w:val="auto"/>
                      <w:sz w:val="21"/>
                      <w:szCs w:val="21"/>
                      <w:vertAlign w:val="superscript"/>
                      <w:lang w:val="en-US" w:eastAsia="zh-CN"/>
                    </w:rPr>
                    <w:t>-7</w:t>
                  </w:r>
                  <w:r>
                    <w:rPr>
                      <w:rFonts w:hint="eastAsia" w:ascii="宋体" w:hAnsi="宋体" w:eastAsia="宋体" w:cs="宋体"/>
                      <w:color w:val="auto"/>
                      <w:sz w:val="21"/>
                      <w:szCs w:val="21"/>
                    </w:rPr>
                    <w:t>cm/s。</w:t>
                  </w:r>
                </w:p>
              </w:tc>
              <w:tc>
                <w:tcPr>
                  <w:tcW w:w="848"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cs="宋体"/>
                      <w:bCs/>
                      <w:color w:val="auto"/>
                      <w:kern w:val="0"/>
                      <w:sz w:val="21"/>
                      <w:szCs w:val="21"/>
                      <w:lang w:val="en-US" w:eastAsia="zh-CN" w:bidi="ar"/>
                    </w:rPr>
                    <w:t>符合</w:t>
                  </w:r>
                </w:p>
              </w:tc>
            </w:tr>
          </w:tbl>
          <w:p>
            <w:pPr>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bidi="ar"/>
              </w:rPr>
              <w:t>综上所述，项目符合《</w:t>
            </w:r>
            <w:r>
              <w:rPr>
                <w:rFonts w:hint="eastAsia" w:ascii="宋体" w:hAnsi="宋体" w:eastAsia="宋体" w:cs="宋体"/>
                <w:color w:val="auto"/>
                <w:sz w:val="24"/>
                <w:szCs w:val="24"/>
              </w:rPr>
              <w:t>医院污水处理工程技术规范</w:t>
            </w:r>
            <w:r>
              <w:rPr>
                <w:rFonts w:hint="eastAsia" w:ascii="宋体" w:hAnsi="宋体" w:eastAsia="宋体" w:cs="宋体"/>
                <w:color w:val="auto"/>
                <w:sz w:val="24"/>
                <w:szCs w:val="24"/>
                <w:lang w:bidi="ar"/>
              </w:rPr>
              <w:t>》的相关要求</w:t>
            </w:r>
            <w:r>
              <w:rPr>
                <w:rFonts w:hint="eastAsia" w:ascii="宋体" w:hAnsi="宋体" w:eastAsia="宋体" w:cs="宋体"/>
                <w:color w:val="auto"/>
                <w:sz w:val="24"/>
                <w:szCs w:val="24"/>
                <w:lang w:eastAsia="zh-CN" w:bidi="ar"/>
              </w:rPr>
              <w:t>。</w:t>
            </w:r>
          </w:p>
          <w:p>
            <w:pPr>
              <w:widowControl/>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rPr>
              <w:t>1.1</w:t>
            </w:r>
            <w:r>
              <w:rPr>
                <w:rFonts w:hint="eastAsia" w:ascii="宋体" w:hAnsi="宋体" w:cs="宋体"/>
                <w:b/>
                <w:bCs/>
                <w:color w:val="auto"/>
                <w:kern w:val="0"/>
                <w:sz w:val="24"/>
                <w:szCs w:val="24"/>
                <w:lang w:val="en-US" w:eastAsia="zh-CN"/>
              </w:rPr>
              <w:t>9</w:t>
            </w:r>
            <w:r>
              <w:rPr>
                <w:rFonts w:hint="eastAsia" w:ascii="宋体" w:hAnsi="宋体" w:eastAsia="宋体" w:cs="宋体"/>
                <w:b/>
                <w:bCs/>
                <w:color w:val="auto"/>
                <w:kern w:val="0"/>
                <w:sz w:val="24"/>
                <w:szCs w:val="24"/>
                <w:lang w:val="en-US" w:eastAsia="zh-CN"/>
              </w:rPr>
              <w:t>项目</w:t>
            </w:r>
            <w:r>
              <w:rPr>
                <w:rFonts w:hint="eastAsia" w:ascii="宋体" w:hAnsi="宋体" w:eastAsia="宋体" w:cs="宋体"/>
                <w:b/>
                <w:bCs/>
                <w:color w:val="auto"/>
                <w:kern w:val="0"/>
                <w:sz w:val="24"/>
                <w:szCs w:val="24"/>
                <w:lang w:bidi="ar"/>
              </w:rPr>
              <w:t>与《医疗废物处理处置污染控制标准》</w:t>
            </w:r>
            <w:r>
              <w:rPr>
                <w:rFonts w:hint="eastAsia" w:ascii="宋体" w:hAnsi="宋体" w:eastAsia="宋体" w:cs="宋体"/>
                <w:b/>
                <w:bCs/>
                <w:color w:val="auto"/>
                <w:kern w:val="0"/>
                <w:sz w:val="24"/>
                <w:szCs w:val="24"/>
                <w:lang w:eastAsia="zh-CN" w:bidi="ar"/>
              </w:rPr>
              <w:t>（</w:t>
            </w:r>
            <w:r>
              <w:rPr>
                <w:rFonts w:hint="eastAsia" w:ascii="宋体" w:hAnsi="宋体" w:eastAsia="宋体" w:cs="宋体"/>
                <w:b/>
                <w:bCs/>
                <w:color w:val="auto"/>
                <w:kern w:val="0"/>
                <w:sz w:val="24"/>
                <w:szCs w:val="24"/>
                <w:lang w:bidi="ar"/>
              </w:rPr>
              <w:t>GB 39707—2020</w:t>
            </w:r>
            <w:r>
              <w:rPr>
                <w:rFonts w:hint="eastAsia" w:ascii="宋体" w:hAnsi="宋体" w:eastAsia="宋体" w:cs="宋体"/>
                <w:b/>
                <w:bCs/>
                <w:color w:val="auto"/>
                <w:kern w:val="0"/>
                <w:sz w:val="24"/>
                <w:szCs w:val="24"/>
                <w:lang w:eastAsia="zh-CN" w:bidi="ar"/>
              </w:rPr>
              <w:t>）</w:t>
            </w:r>
            <w:r>
              <w:rPr>
                <w:rFonts w:hint="eastAsia" w:ascii="宋体" w:hAnsi="宋体" w:eastAsia="宋体" w:cs="宋体"/>
                <w:b/>
                <w:bCs/>
                <w:color w:val="auto"/>
                <w:kern w:val="0"/>
                <w:sz w:val="24"/>
                <w:szCs w:val="24"/>
                <w:lang w:bidi="ar"/>
              </w:rPr>
              <w:t xml:space="preserve">符合性分析 </w:t>
            </w:r>
          </w:p>
          <w:p>
            <w:pPr>
              <w:adjustRightInd w:val="0"/>
              <w:snapToGrid w:val="0"/>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本项目与《医疗废物处理处置污染控制标准》符合性分析见表1-</w:t>
            </w:r>
            <w:r>
              <w:rPr>
                <w:rFonts w:hint="eastAsia" w:ascii="宋体" w:hAnsi="宋体" w:eastAsia="宋体" w:cs="宋体"/>
                <w:color w:val="auto"/>
                <w:kern w:val="0"/>
                <w:sz w:val="24"/>
                <w:szCs w:val="24"/>
                <w:lang w:val="en-US" w:eastAsia="zh-CN" w:bidi="ar"/>
              </w:rPr>
              <w:t>9</w:t>
            </w:r>
            <w:r>
              <w:rPr>
                <w:rFonts w:hint="eastAsia" w:ascii="宋体" w:hAnsi="宋体" w:eastAsia="宋体" w:cs="宋体"/>
                <w:color w:val="auto"/>
                <w:kern w:val="0"/>
                <w:sz w:val="24"/>
                <w:szCs w:val="24"/>
                <w:lang w:bidi="ar"/>
              </w:rPr>
              <w:t>。</w:t>
            </w:r>
          </w:p>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表1-</w:t>
            </w:r>
            <w:r>
              <w:rPr>
                <w:rFonts w:hint="eastAsia" w:ascii="黑体" w:hAnsi="黑体" w:eastAsia="黑体" w:cs="黑体"/>
                <w:b w:val="0"/>
                <w:bCs w:val="0"/>
                <w:color w:val="auto"/>
                <w:sz w:val="21"/>
                <w:szCs w:val="21"/>
                <w:lang w:val="en-US" w:eastAsia="zh-CN"/>
              </w:rPr>
              <w:t>9</w:t>
            </w:r>
            <w:r>
              <w:rPr>
                <w:rFonts w:hint="eastAsia" w:ascii="黑体" w:hAnsi="黑体" w:eastAsia="黑体" w:cs="黑体"/>
                <w:b w:val="0"/>
                <w:bCs w:val="0"/>
                <w:color w:val="auto"/>
                <w:sz w:val="21"/>
                <w:szCs w:val="21"/>
              </w:rPr>
              <w:t xml:space="preserve">  与《医疗废物处理处置污染控制标准》符合性分析一览表</w:t>
            </w:r>
          </w:p>
          <w:tbl>
            <w:tblPr>
              <w:tblStyle w:val="26"/>
              <w:tblW w:w="6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3939"/>
              <w:gridCol w:w="1639"/>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序号</w:t>
                  </w:r>
                </w:p>
              </w:tc>
              <w:tc>
                <w:tcPr>
                  <w:tcW w:w="39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《医疗废物处理处置污染控制标准》要求</w:t>
                  </w:r>
                </w:p>
              </w:tc>
              <w:tc>
                <w:tcPr>
                  <w:tcW w:w="1639"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本项目情况</w:t>
                  </w:r>
                </w:p>
              </w:tc>
              <w:tc>
                <w:tcPr>
                  <w:tcW w:w="848" w:type="dxa"/>
                  <w:vAlign w:val="center"/>
                </w:tcPr>
                <w:p>
                  <w:pPr>
                    <w:widowControl/>
                    <w:jc w:val="center"/>
                    <w:rPr>
                      <w:rFonts w:hint="eastAsia" w:ascii="宋体" w:hAnsi="宋体" w:eastAsia="宋体" w:cs="宋体"/>
                      <w:b/>
                      <w:bCs w:val="0"/>
                      <w:color w:val="auto"/>
                      <w:kern w:val="0"/>
                      <w:sz w:val="21"/>
                      <w:szCs w:val="21"/>
                      <w:lang w:bidi="ar"/>
                    </w:rPr>
                  </w:pPr>
                  <w:r>
                    <w:rPr>
                      <w:rFonts w:hint="eastAsia" w:ascii="宋体" w:hAnsi="宋体" w:eastAsia="宋体" w:cs="宋体"/>
                      <w:b/>
                      <w:bCs w:val="0"/>
                      <w:color w:val="auto"/>
                      <w:kern w:val="0"/>
                      <w:sz w:val="21"/>
                      <w:szCs w:val="21"/>
                      <w:lang w:bidi="ar"/>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1</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 处理处置单位应采用周转箱/桶收集、转移医疗废物，并应执行危险废物转移联单管理制度。</w:t>
                  </w:r>
                </w:p>
              </w:tc>
              <w:tc>
                <w:tcPr>
                  <w:tcW w:w="1639" w:type="dxa"/>
                  <w:vAlign w:val="center"/>
                </w:tcPr>
                <w:p>
                  <w:pPr>
                    <w:widowControl/>
                    <w:jc w:val="center"/>
                    <w:rPr>
                      <w:rFonts w:hint="default" w:ascii="宋体" w:hAnsi="宋体" w:eastAsia="宋体" w:cs="宋体"/>
                      <w:bCs/>
                      <w:color w:val="auto"/>
                      <w:kern w:val="0"/>
                      <w:sz w:val="21"/>
                      <w:szCs w:val="21"/>
                      <w:lang w:val="en-US" w:bidi="ar"/>
                    </w:rPr>
                  </w:pPr>
                  <w:r>
                    <w:rPr>
                      <w:rFonts w:hint="eastAsia" w:ascii="宋体" w:hAnsi="宋体" w:eastAsia="宋体" w:cs="宋体"/>
                      <w:color w:val="000000"/>
                      <w:sz w:val="21"/>
                      <w:szCs w:val="21"/>
                      <w:u w:val="none"/>
                      <w:lang w:val="en-US" w:eastAsia="zh-CN"/>
                    </w:rPr>
                    <w:t>本卫生院</w:t>
                  </w:r>
                  <w:r>
                    <w:rPr>
                      <w:rFonts w:hint="eastAsia" w:ascii="宋体" w:hAnsi="宋体" w:cs="宋体"/>
                      <w:color w:val="000000"/>
                      <w:sz w:val="21"/>
                      <w:szCs w:val="21"/>
                      <w:u w:val="none"/>
                      <w:lang w:val="en-US" w:eastAsia="zh-CN"/>
                    </w:rPr>
                    <w:t>采用专用中转箱分类收集医疗废物，</w:t>
                  </w:r>
                  <w:r>
                    <w:rPr>
                      <w:rFonts w:hint="eastAsia" w:ascii="宋体" w:hAnsi="宋体" w:eastAsia="宋体" w:cs="宋体"/>
                      <w:color w:val="auto"/>
                      <w:kern w:val="0"/>
                      <w:sz w:val="21"/>
                      <w:szCs w:val="21"/>
                      <w:lang w:bidi="ar"/>
                    </w:rPr>
                    <w:t>并执行危险废物转移联单管理制度。</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bCs/>
                      <w:color w:val="auto"/>
                      <w:kern w:val="0"/>
                      <w:sz w:val="21"/>
                      <w:szCs w:val="21"/>
                      <w:lang w:val="en-US" w:eastAsia="zh-CN" w:bidi="ar"/>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2</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贮存设施地面防渗应满足国家和地方有关重点污染源防渗要求。墙面应做防渗处理，感染性、损伤性、病理性废物贮存设施的地面、墙面材料应易于清洗和消毒。</w:t>
                  </w:r>
                </w:p>
              </w:tc>
              <w:tc>
                <w:tcPr>
                  <w:tcW w:w="1639"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eastAsia="宋体" w:cs="宋体"/>
                      <w:color w:val="auto"/>
                      <w:sz w:val="21"/>
                      <w:szCs w:val="21"/>
                    </w:rPr>
                    <w:t>医</w:t>
                  </w:r>
                  <w:r>
                    <w:rPr>
                      <w:rFonts w:hint="eastAsia" w:ascii="宋体" w:hAnsi="宋体" w:eastAsia="宋体" w:cs="宋体"/>
                      <w:color w:val="auto"/>
                      <w:kern w:val="0"/>
                      <w:sz w:val="21"/>
                      <w:szCs w:val="21"/>
                      <w:lang w:bidi="ar"/>
                    </w:rPr>
                    <w:t>疗废物暂存间地面及裙</w:t>
                  </w:r>
                  <w:r>
                    <w:rPr>
                      <w:rFonts w:hint="eastAsia" w:ascii="宋体" w:hAnsi="宋体" w:eastAsia="宋体" w:cs="宋体"/>
                      <w:color w:val="auto"/>
                      <w:kern w:val="0"/>
                      <w:sz w:val="21"/>
                      <w:szCs w:val="21"/>
                      <w:lang w:val="en-US" w:eastAsia="zh-CN" w:bidi="ar"/>
                    </w:rPr>
                    <w:t>脚已</w:t>
                  </w:r>
                  <w:r>
                    <w:rPr>
                      <w:rFonts w:hint="eastAsia" w:ascii="宋体" w:hAnsi="宋体" w:eastAsia="宋体" w:cs="宋体"/>
                      <w:color w:val="auto"/>
                      <w:kern w:val="0"/>
                      <w:sz w:val="21"/>
                      <w:szCs w:val="21"/>
                      <w:lang w:bidi="ar"/>
                    </w:rPr>
                    <w:t>采用</w:t>
                  </w:r>
                  <w:r>
                    <w:rPr>
                      <w:rFonts w:hint="eastAsia" w:ascii="宋体" w:hAnsi="宋体" w:eastAsia="宋体" w:cs="宋体"/>
                      <w:color w:val="auto"/>
                      <w:kern w:val="0"/>
                      <w:sz w:val="21"/>
                      <w:szCs w:val="21"/>
                      <w:lang w:val="en-US" w:eastAsia="zh-CN" w:bidi="ar"/>
                    </w:rPr>
                    <w:t>抗渗混凝土</w:t>
                  </w: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val="en-US" w:eastAsia="zh-CN" w:bidi="ar"/>
                    </w:rPr>
                    <w:t>防渗涂料</w:t>
                  </w:r>
                  <w:r>
                    <w:rPr>
                      <w:rFonts w:hint="eastAsia" w:ascii="宋体" w:hAnsi="宋体" w:eastAsia="宋体" w:cs="宋体"/>
                      <w:color w:val="auto"/>
                      <w:kern w:val="0"/>
                      <w:sz w:val="21"/>
                      <w:szCs w:val="21"/>
                      <w:lang w:bidi="ar"/>
                    </w:rPr>
                    <w:t>，渗透系数</w:t>
                  </w:r>
                  <w:r>
                    <w:rPr>
                      <w:rFonts w:hint="eastAsia" w:ascii="宋体" w:hAnsi="宋体" w:eastAsia="宋体" w:cs="宋体"/>
                      <w:color w:val="auto"/>
                      <w:kern w:val="0"/>
                      <w:sz w:val="21"/>
                      <w:szCs w:val="21"/>
                      <w:lang w:val="en-US" w:eastAsia="zh-CN" w:bidi="ar"/>
                    </w:rPr>
                    <w:t>达到</w:t>
                  </w:r>
                  <w:r>
                    <w:rPr>
                      <w:rFonts w:hint="eastAsia" w:ascii="宋体" w:hAnsi="宋体" w:eastAsia="宋体" w:cs="宋体"/>
                      <w:color w:val="auto"/>
                      <w:kern w:val="0"/>
                      <w:sz w:val="21"/>
                      <w:szCs w:val="21"/>
                      <w:lang w:bidi="ar"/>
                    </w:rPr>
                    <w:t>K≤1×10</w:t>
                  </w:r>
                  <w:r>
                    <w:rPr>
                      <w:rFonts w:hint="eastAsia" w:ascii="宋体" w:hAnsi="宋体" w:eastAsia="宋体" w:cs="宋体"/>
                      <w:color w:val="auto"/>
                      <w:kern w:val="0"/>
                      <w:sz w:val="21"/>
                      <w:szCs w:val="21"/>
                      <w:vertAlign w:val="superscript"/>
                      <w:lang w:val="en-US" w:eastAsia="zh-CN" w:bidi="ar"/>
                    </w:rPr>
                    <w:t>-10</w:t>
                  </w:r>
                  <w:r>
                    <w:rPr>
                      <w:rFonts w:hint="eastAsia" w:ascii="宋体" w:hAnsi="宋体" w:eastAsia="宋体" w:cs="宋体"/>
                      <w:color w:val="auto"/>
                      <w:kern w:val="0"/>
                      <w:sz w:val="21"/>
                      <w:szCs w:val="21"/>
                      <w:lang w:bidi="ar"/>
                    </w:rPr>
                    <w:t>cm/s</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bCs/>
                      <w:color w:val="auto"/>
                      <w:kern w:val="0"/>
                      <w:sz w:val="21"/>
                      <w:szCs w:val="21"/>
                      <w:lang w:val="en-US" w:eastAsia="zh-CN" w:bidi="ar"/>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30"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eastAsia="宋体" w:cs="宋体"/>
                      <w:bCs/>
                      <w:color w:val="auto"/>
                      <w:kern w:val="0"/>
                      <w:sz w:val="21"/>
                      <w:szCs w:val="21"/>
                      <w:lang w:bidi="ar"/>
                    </w:rPr>
                    <w:t>3</w:t>
                  </w:r>
                </w:p>
              </w:tc>
              <w:tc>
                <w:tcPr>
                  <w:tcW w:w="3939" w:type="dxa"/>
                  <w:vAlign w:val="center"/>
                </w:tcPr>
                <w:p>
                  <w:pPr>
                    <w:adjustRightInd w:val="0"/>
                    <w:snapToGrid w:val="0"/>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处理处置单位对感染性、损伤性、病理性废物的贮存应符合以下要求：a） 贮存温度≥5℃，贮存时间不得超过24小时；b） 贮存温度＜5℃，贮存时间不得超过72小时；c） 偏远地区贮存温度＜5℃，并采取消毒措施时，可适当延长贮存时间，但不得超过168小时。</w:t>
                  </w:r>
                </w:p>
              </w:tc>
              <w:tc>
                <w:tcPr>
                  <w:tcW w:w="1639" w:type="dxa"/>
                  <w:vAlign w:val="center"/>
                </w:tcPr>
                <w:p>
                  <w:pPr>
                    <w:widowControl/>
                    <w:jc w:val="center"/>
                    <w:rPr>
                      <w:rFonts w:hint="default" w:ascii="宋体" w:hAnsi="宋体" w:eastAsia="宋体" w:cs="宋体"/>
                      <w:bCs/>
                      <w:color w:val="auto"/>
                      <w:kern w:val="0"/>
                      <w:sz w:val="21"/>
                      <w:szCs w:val="21"/>
                      <w:lang w:val="en-US" w:eastAsia="zh-CN" w:bidi="ar"/>
                    </w:rPr>
                  </w:pPr>
                  <w:r>
                    <w:rPr>
                      <w:rFonts w:hint="eastAsia" w:ascii="宋体" w:hAnsi="宋体" w:cs="宋体"/>
                      <w:bCs/>
                      <w:color w:val="auto"/>
                      <w:kern w:val="0"/>
                      <w:sz w:val="21"/>
                      <w:szCs w:val="21"/>
                      <w:lang w:val="en-US" w:eastAsia="zh-CN" w:bidi="ar"/>
                    </w:rPr>
                    <w:t>本项目医疗废物暂存温度</w:t>
                  </w:r>
                  <w:r>
                    <w:rPr>
                      <w:rFonts w:hint="eastAsia" w:ascii="宋体" w:hAnsi="宋体" w:eastAsia="宋体" w:cs="宋体"/>
                      <w:color w:val="auto"/>
                      <w:kern w:val="0"/>
                      <w:sz w:val="21"/>
                      <w:szCs w:val="21"/>
                      <w:lang w:bidi="ar"/>
                    </w:rPr>
                    <w:t>≥5℃</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val="en-US" w:eastAsia="zh-CN" w:bidi="ar"/>
                    </w:rPr>
                    <w:t>转运时间为1天1次。</w:t>
                  </w:r>
                </w:p>
              </w:tc>
              <w:tc>
                <w:tcPr>
                  <w:tcW w:w="848" w:type="dxa"/>
                  <w:vAlign w:val="center"/>
                </w:tcPr>
                <w:p>
                  <w:pPr>
                    <w:widowControl/>
                    <w:jc w:val="center"/>
                    <w:rPr>
                      <w:rFonts w:hint="eastAsia" w:ascii="宋体" w:hAnsi="宋体" w:eastAsia="宋体" w:cs="宋体"/>
                      <w:bCs/>
                      <w:color w:val="auto"/>
                      <w:kern w:val="0"/>
                      <w:sz w:val="21"/>
                      <w:szCs w:val="21"/>
                      <w:lang w:bidi="ar"/>
                    </w:rPr>
                  </w:pPr>
                  <w:r>
                    <w:rPr>
                      <w:rFonts w:hint="eastAsia" w:ascii="宋体" w:hAnsi="宋体" w:cs="宋体"/>
                      <w:bCs/>
                      <w:color w:val="auto"/>
                      <w:kern w:val="0"/>
                      <w:sz w:val="21"/>
                      <w:szCs w:val="21"/>
                      <w:lang w:val="en-US" w:eastAsia="zh-CN" w:bidi="ar"/>
                    </w:rPr>
                    <w:t>符合</w:t>
                  </w:r>
                </w:p>
              </w:tc>
            </w:tr>
          </w:tbl>
          <w:p>
            <w:pPr>
              <w:spacing w:line="360" w:lineRule="auto"/>
              <w:ind w:firstLine="480" w:firstLineChars="200"/>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bidi="ar"/>
              </w:rPr>
              <w:t>综上所述，项目符合《医疗废物处理处置污染控制标准》的相关要求</w:t>
            </w:r>
            <w:r>
              <w:rPr>
                <w:rFonts w:hint="eastAsia" w:ascii="宋体" w:hAnsi="宋体" w:eastAsia="宋体" w:cs="宋体"/>
                <w:color w:val="auto"/>
                <w:sz w:val="24"/>
                <w:szCs w:val="24"/>
                <w:lang w:eastAsia="zh-CN" w:bidi="ar"/>
              </w:rPr>
              <w:t>。</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cs="宋体"/>
                <w:b/>
                <w:bCs/>
                <w:color w:val="auto"/>
                <w:sz w:val="24"/>
                <w:szCs w:val="24"/>
                <w:lang w:val="en-US" w:eastAsia="zh-CN"/>
              </w:rPr>
              <w:t>20</w:t>
            </w:r>
            <w:r>
              <w:rPr>
                <w:rFonts w:hint="eastAsia" w:ascii="宋体" w:hAnsi="宋体" w:eastAsia="宋体" w:cs="宋体"/>
                <w:b/>
                <w:bCs/>
                <w:color w:val="auto"/>
                <w:sz w:val="24"/>
                <w:szCs w:val="24"/>
              </w:rPr>
              <w:t>项目选址合理性分析</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本项目在勐海县勐</w:t>
            </w:r>
            <w:r>
              <w:rPr>
                <w:rFonts w:hint="eastAsia" w:ascii="宋体" w:hAnsi="宋体" w:eastAsia="宋体" w:cs="宋体"/>
                <w:b w:val="0"/>
                <w:bCs w:val="0"/>
                <w:color w:val="auto"/>
                <w:sz w:val="24"/>
                <w:szCs w:val="24"/>
                <w:lang w:val="en-US" w:eastAsia="zh-CN"/>
              </w:rPr>
              <w:t>海</w:t>
            </w:r>
            <w:r>
              <w:rPr>
                <w:rFonts w:hint="eastAsia" w:ascii="宋体" w:hAnsi="宋体" w:eastAsia="宋体" w:cs="宋体"/>
                <w:b w:val="0"/>
                <w:bCs w:val="0"/>
                <w:color w:val="auto"/>
                <w:sz w:val="24"/>
                <w:szCs w:val="24"/>
              </w:rPr>
              <w:t>镇卫生院政府划拨土地上建设，</w:t>
            </w:r>
            <w:r>
              <w:rPr>
                <w:rFonts w:hint="eastAsia" w:ascii="宋体" w:hAnsi="宋体" w:cs="宋体"/>
                <w:b w:val="0"/>
                <w:bCs w:val="0"/>
                <w:color w:val="auto"/>
                <w:sz w:val="24"/>
                <w:szCs w:val="24"/>
                <w:lang w:val="en-US" w:eastAsia="zh-CN"/>
              </w:rPr>
              <w:t>根据卫生院提供的不动产权证书，用地性质为医卫慈善用地/办公。</w:t>
            </w:r>
            <w:r>
              <w:rPr>
                <w:rFonts w:hint="eastAsia" w:ascii="宋体" w:hAnsi="宋体" w:eastAsia="宋体" w:cs="宋体"/>
                <w:b w:val="0"/>
                <w:bCs w:val="0"/>
                <w:color w:val="auto"/>
                <w:sz w:val="24"/>
                <w:szCs w:val="24"/>
              </w:rPr>
              <w:t>位于</w:t>
            </w:r>
            <w:r>
              <w:rPr>
                <w:rFonts w:hint="eastAsia" w:ascii="宋体" w:hAnsi="宋体" w:eastAsia="宋体" w:cs="宋体"/>
                <w:b w:val="0"/>
                <w:bCs w:val="0"/>
                <w:color w:val="auto"/>
                <w:sz w:val="24"/>
                <w:szCs w:val="24"/>
                <w:lang w:eastAsia="zh-CN"/>
              </w:rPr>
              <w:t>勐海县勐</w:t>
            </w:r>
            <w:r>
              <w:rPr>
                <w:rFonts w:hint="eastAsia" w:ascii="宋体" w:hAnsi="宋体" w:eastAsia="宋体" w:cs="宋体"/>
                <w:b w:val="0"/>
                <w:bCs w:val="0"/>
                <w:color w:val="auto"/>
                <w:sz w:val="24"/>
                <w:szCs w:val="24"/>
                <w:lang w:val="en-US" w:eastAsia="zh-CN"/>
              </w:rPr>
              <w:t>海</w:t>
            </w:r>
            <w:r>
              <w:rPr>
                <w:rFonts w:hint="eastAsia" w:ascii="宋体" w:hAnsi="宋体" w:eastAsia="宋体" w:cs="宋体"/>
                <w:b w:val="0"/>
                <w:bCs w:val="0"/>
                <w:color w:val="auto"/>
                <w:sz w:val="24"/>
                <w:szCs w:val="24"/>
                <w:lang w:eastAsia="zh-CN"/>
              </w:rPr>
              <w:t>镇</w:t>
            </w:r>
            <w:r>
              <w:rPr>
                <w:rFonts w:hint="eastAsia" w:ascii="宋体" w:hAnsi="宋体" w:eastAsia="宋体" w:cs="宋体"/>
                <w:b w:val="0"/>
                <w:bCs w:val="0"/>
                <w:color w:val="auto"/>
                <w:sz w:val="24"/>
                <w:szCs w:val="24"/>
                <w:lang w:val="en-US" w:eastAsia="zh-CN"/>
              </w:rPr>
              <w:t>佛双路35</w:t>
            </w:r>
            <w:r>
              <w:rPr>
                <w:rFonts w:hint="eastAsia" w:ascii="宋体" w:hAnsi="宋体" w:eastAsia="宋体" w:cs="宋体"/>
                <w:b w:val="0"/>
                <w:bCs w:val="0"/>
                <w:color w:val="auto"/>
                <w:sz w:val="24"/>
                <w:szCs w:val="24"/>
                <w:lang w:eastAsia="zh-CN"/>
              </w:rPr>
              <w:t>号</w:t>
            </w:r>
            <w:r>
              <w:rPr>
                <w:rFonts w:hint="eastAsia" w:ascii="宋体" w:hAnsi="宋体" w:eastAsia="宋体" w:cs="宋体"/>
                <w:b w:val="0"/>
                <w:bCs w:val="0"/>
                <w:color w:val="auto"/>
                <w:sz w:val="24"/>
                <w:szCs w:val="24"/>
              </w:rPr>
              <w:t>，医院主大门与</w:t>
            </w:r>
            <w:r>
              <w:rPr>
                <w:rFonts w:hint="eastAsia" w:ascii="宋体" w:hAnsi="宋体" w:eastAsia="宋体" w:cs="宋体"/>
                <w:b w:val="0"/>
                <w:bCs w:val="0"/>
                <w:color w:val="auto"/>
                <w:sz w:val="24"/>
                <w:szCs w:val="24"/>
                <w:lang w:val="en-US" w:eastAsia="zh-CN"/>
              </w:rPr>
              <w:t>s</w:t>
            </w: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33</w:t>
            </w:r>
            <w:r>
              <w:rPr>
                <w:rFonts w:hint="eastAsia" w:ascii="宋体" w:hAnsi="宋体" w:eastAsia="宋体" w:cs="宋体"/>
                <w:b w:val="0"/>
                <w:bCs w:val="0"/>
                <w:color w:val="auto"/>
                <w:sz w:val="24"/>
                <w:szCs w:val="24"/>
              </w:rPr>
              <w:t>省道相连接，与外界交通便利。项目所在地市政设施齐全，能够满足项目日常用电、用气、给排水需求。项目属于乡镇卫生院建设项目，产生的污水、废气、医疗废物、生活垃圾能够得到及时、妥善处置，项目施工期及运营期均未产生重大环境问题。项目区内及评价范围内无自然保护区、风景名胜区、饮用水水源保护区等环境敏感区，占地范围无保护动植物分布。</w:t>
            </w:r>
            <w:r>
              <w:rPr>
                <w:rFonts w:hint="eastAsia" w:ascii="宋体" w:hAnsi="宋体" w:cs="宋体"/>
                <w:b w:val="0"/>
                <w:bCs w:val="0"/>
                <w:color w:val="auto"/>
                <w:sz w:val="24"/>
                <w:szCs w:val="24"/>
                <w:lang w:val="en-US" w:eastAsia="zh-CN"/>
              </w:rPr>
              <w:t>项目周边无工矿企业，不产生较大污染源，环境质量较好，</w:t>
            </w:r>
            <w:r>
              <w:rPr>
                <w:rFonts w:hint="eastAsia" w:ascii="宋体" w:hAnsi="宋体" w:eastAsia="宋体" w:cs="宋体"/>
                <w:b w:val="0"/>
                <w:bCs w:val="0"/>
                <w:color w:val="auto"/>
                <w:sz w:val="24"/>
                <w:szCs w:val="24"/>
              </w:rPr>
              <w:t>因此，项目的选址合理。</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cs="宋体"/>
                <w:b/>
                <w:bCs/>
                <w:color w:val="auto"/>
                <w:sz w:val="24"/>
                <w:szCs w:val="24"/>
                <w:lang w:val="en-US" w:eastAsia="zh-CN"/>
              </w:rPr>
              <w:t>21</w:t>
            </w:r>
            <w:r>
              <w:rPr>
                <w:rFonts w:hint="eastAsia" w:ascii="宋体" w:hAnsi="宋体" w:eastAsia="宋体" w:cs="宋体"/>
                <w:b/>
                <w:bCs/>
                <w:color w:val="auto"/>
                <w:sz w:val="24"/>
                <w:szCs w:val="24"/>
              </w:rPr>
              <w:t>平面布局合理性分析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项目位于</w:t>
            </w:r>
            <w:r>
              <w:rPr>
                <w:rFonts w:hint="eastAsia" w:ascii="宋体" w:hAnsi="宋体" w:eastAsia="宋体" w:cs="宋体"/>
                <w:b w:val="0"/>
                <w:bCs w:val="0"/>
                <w:color w:val="auto"/>
                <w:sz w:val="24"/>
                <w:szCs w:val="24"/>
                <w:lang w:eastAsia="zh-CN"/>
              </w:rPr>
              <w:t>勐</w:t>
            </w:r>
            <w:r>
              <w:rPr>
                <w:rFonts w:hint="eastAsia" w:ascii="宋体" w:hAnsi="宋体" w:eastAsia="宋体" w:cs="宋体"/>
                <w:b w:val="0"/>
                <w:bCs w:val="0"/>
                <w:color w:val="auto"/>
                <w:sz w:val="24"/>
                <w:szCs w:val="24"/>
                <w:lang w:val="en-US" w:eastAsia="zh-CN"/>
              </w:rPr>
              <w:t>海</w:t>
            </w:r>
            <w:r>
              <w:rPr>
                <w:rFonts w:hint="eastAsia" w:ascii="宋体" w:hAnsi="宋体" w:eastAsia="宋体" w:cs="宋体"/>
                <w:b w:val="0"/>
                <w:bCs w:val="0"/>
                <w:color w:val="auto"/>
                <w:sz w:val="24"/>
                <w:szCs w:val="24"/>
                <w:lang w:eastAsia="zh-CN"/>
              </w:rPr>
              <w:t>镇</w:t>
            </w:r>
            <w:r>
              <w:rPr>
                <w:rFonts w:hint="eastAsia" w:ascii="宋体" w:hAnsi="宋体" w:eastAsia="宋体" w:cs="宋体"/>
                <w:b w:val="0"/>
                <w:bCs w:val="0"/>
                <w:color w:val="auto"/>
                <w:sz w:val="24"/>
                <w:szCs w:val="24"/>
                <w:lang w:val="en-US" w:eastAsia="zh-CN"/>
              </w:rPr>
              <w:t>佛双路35</w:t>
            </w:r>
            <w:r>
              <w:rPr>
                <w:rFonts w:hint="eastAsia" w:ascii="宋体" w:hAnsi="宋体" w:eastAsia="宋体" w:cs="宋体"/>
                <w:b w:val="0"/>
                <w:bCs w:val="0"/>
                <w:color w:val="auto"/>
                <w:sz w:val="24"/>
                <w:szCs w:val="24"/>
                <w:lang w:eastAsia="zh-CN"/>
              </w:rPr>
              <w:t>号</w:t>
            </w:r>
            <w:r>
              <w:rPr>
                <w:rFonts w:hint="eastAsia" w:ascii="宋体" w:hAnsi="宋体" w:eastAsia="宋体" w:cs="宋体"/>
                <w:b w:val="0"/>
                <w:bCs w:val="0"/>
                <w:color w:val="auto"/>
                <w:sz w:val="24"/>
                <w:szCs w:val="24"/>
              </w:rPr>
              <w:t>，入口位于项目西侧s3</w:t>
            </w:r>
            <w:r>
              <w:rPr>
                <w:rFonts w:hint="eastAsia" w:ascii="宋体" w:hAnsi="宋体" w:eastAsia="宋体" w:cs="宋体"/>
                <w:b w:val="0"/>
                <w:bCs w:val="0"/>
                <w:color w:val="auto"/>
                <w:sz w:val="24"/>
                <w:szCs w:val="24"/>
                <w:lang w:val="en-US" w:eastAsia="zh-CN"/>
              </w:rPr>
              <w:t>33</w:t>
            </w:r>
            <w:r>
              <w:rPr>
                <w:rFonts w:hint="eastAsia" w:ascii="宋体" w:hAnsi="宋体" w:eastAsia="宋体" w:cs="宋体"/>
                <w:b w:val="0"/>
                <w:bCs w:val="0"/>
                <w:color w:val="auto"/>
                <w:sz w:val="24"/>
                <w:szCs w:val="24"/>
              </w:rPr>
              <w:t>省道，</w:t>
            </w:r>
            <w:r>
              <w:rPr>
                <w:rFonts w:hint="eastAsia" w:ascii="宋体" w:hAnsi="宋体" w:eastAsia="宋体" w:cs="宋体"/>
                <w:color w:val="auto"/>
                <w:sz w:val="24"/>
                <w:szCs w:val="24"/>
              </w:rPr>
              <w:t>本项目整体呈矩形，</w:t>
            </w:r>
            <w:r>
              <w:rPr>
                <w:rFonts w:hint="eastAsia" w:ascii="宋体" w:hAnsi="宋体" w:eastAsia="宋体" w:cs="宋体"/>
                <w:color w:val="auto"/>
                <w:sz w:val="24"/>
                <w:szCs w:val="24"/>
                <w:lang w:val="en-US" w:eastAsia="zh-CN"/>
              </w:rPr>
              <w:t>四周依次分布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1栋两层住宿楼（一层用作药品库房，二层作为员工住宿），</w:t>
            </w:r>
            <w:r>
              <w:rPr>
                <w:rFonts w:hint="eastAsia" w:ascii="宋体" w:hAnsi="宋体" w:eastAsia="宋体" w:cs="宋体"/>
                <w:color w:val="auto"/>
                <w:sz w:val="24"/>
                <w:szCs w:val="24"/>
              </w:rPr>
              <w:t>1栋</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层</w:t>
            </w:r>
            <w:r>
              <w:rPr>
                <w:rFonts w:hint="eastAsia" w:ascii="宋体" w:hAnsi="宋体" w:eastAsia="宋体" w:cs="宋体"/>
                <w:color w:val="auto"/>
                <w:sz w:val="24"/>
                <w:szCs w:val="24"/>
                <w:lang w:val="en-US" w:eastAsia="zh-CN"/>
              </w:rPr>
              <w:t>综合楼，1栋四层行政楼，1栋三层医技楼（一楼医学影像科、二楼化验室、三楼档案室），1栋一层体检站。</w:t>
            </w:r>
            <w:r>
              <w:rPr>
                <w:rFonts w:hint="eastAsia" w:ascii="宋体" w:hAnsi="宋体" w:eastAsia="宋体" w:cs="宋体"/>
                <w:color w:val="auto"/>
                <w:sz w:val="24"/>
                <w:szCs w:val="24"/>
              </w:rPr>
              <w:t>各部门之间、交通合理，人物分流，洁污分流。门诊与治疗，门诊与住院之间联系方便，使病人尽快到达就诊位置，避免往返迂回，防止交叉感染。</w:t>
            </w:r>
            <w:r>
              <w:rPr>
                <w:rFonts w:hint="eastAsia" w:ascii="宋体" w:hAnsi="宋体" w:eastAsia="宋体" w:cs="宋体"/>
                <w:color w:val="auto"/>
                <w:sz w:val="24"/>
                <w:szCs w:val="24"/>
                <w:lang w:eastAsia="zh-CN"/>
              </w:rPr>
              <w:t>洗浆房位于项目区</w:t>
            </w:r>
            <w:r>
              <w:rPr>
                <w:rFonts w:hint="eastAsia" w:ascii="宋体" w:hAnsi="宋体" w:eastAsia="宋体" w:cs="宋体"/>
                <w:color w:val="auto"/>
                <w:sz w:val="24"/>
                <w:szCs w:val="24"/>
                <w:lang w:val="en-US" w:eastAsia="zh-CN"/>
              </w:rPr>
              <w:t>东南</w:t>
            </w:r>
            <w:r>
              <w:rPr>
                <w:rFonts w:hint="eastAsia" w:ascii="宋体" w:hAnsi="宋体" w:eastAsia="宋体" w:cs="宋体"/>
                <w:color w:val="auto"/>
                <w:sz w:val="24"/>
                <w:szCs w:val="24"/>
                <w:lang w:eastAsia="zh-CN"/>
              </w:rPr>
              <w:t>侧，是卫生院用于清洗病房床单被罩等的地方；</w:t>
            </w:r>
            <w:r>
              <w:rPr>
                <w:rFonts w:hint="eastAsia" w:ascii="宋体" w:hAnsi="宋体" w:eastAsia="宋体" w:cs="宋体"/>
                <w:color w:val="auto"/>
                <w:sz w:val="24"/>
                <w:szCs w:val="24"/>
              </w:rPr>
              <w:t>污水处理系统位于项目</w:t>
            </w:r>
            <w:r>
              <w:rPr>
                <w:rFonts w:hint="eastAsia" w:ascii="宋体" w:hAnsi="宋体" w:eastAsia="宋体" w:cs="宋体"/>
                <w:color w:val="auto"/>
                <w:sz w:val="24"/>
                <w:szCs w:val="24"/>
                <w:lang w:val="en-US" w:eastAsia="zh-CN"/>
              </w:rPr>
              <w:t>区西南侧角落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污水处理系统采取封闭式布置，水泵、消毒设备等噪声源尽量布置在远离居民区一侧，降低对周围居民的影响。医疗</w:t>
            </w:r>
            <w:r>
              <w:rPr>
                <w:rFonts w:hint="eastAsia" w:ascii="宋体" w:hAnsi="宋体" w:eastAsia="宋体" w:cs="宋体"/>
                <w:color w:val="auto"/>
                <w:sz w:val="24"/>
                <w:szCs w:val="24"/>
                <w:lang w:val="en-US" w:eastAsia="zh-CN"/>
              </w:rPr>
              <w:t>废物</w:t>
            </w:r>
            <w:r>
              <w:rPr>
                <w:rFonts w:hint="eastAsia" w:ascii="宋体" w:hAnsi="宋体" w:eastAsia="宋体" w:cs="宋体"/>
                <w:color w:val="auto"/>
                <w:sz w:val="24"/>
                <w:szCs w:val="24"/>
              </w:rPr>
              <w:t>暂存间位于</w:t>
            </w:r>
            <w:r>
              <w:rPr>
                <w:rFonts w:hint="eastAsia" w:ascii="宋体" w:hAnsi="宋体" w:eastAsia="宋体" w:cs="宋体"/>
                <w:color w:val="auto"/>
                <w:sz w:val="24"/>
                <w:szCs w:val="24"/>
                <w:lang w:val="en-US" w:eastAsia="zh-CN"/>
              </w:rPr>
              <w:t>污水处理站外独立房间内</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医疗废物</w:t>
            </w:r>
            <w:r>
              <w:rPr>
                <w:rFonts w:hint="eastAsia" w:ascii="宋体" w:hAnsi="宋体" w:eastAsia="宋体" w:cs="宋体"/>
                <w:color w:val="auto"/>
                <w:sz w:val="24"/>
                <w:szCs w:val="24"/>
              </w:rPr>
              <w:t>由专门的污物通道运至</w:t>
            </w:r>
            <w:r>
              <w:rPr>
                <w:rFonts w:hint="eastAsia" w:ascii="宋体" w:hAnsi="宋体" w:eastAsia="宋体" w:cs="宋体"/>
                <w:color w:val="auto"/>
                <w:sz w:val="24"/>
                <w:szCs w:val="24"/>
                <w:lang w:val="en-US" w:eastAsia="zh-CN"/>
              </w:rPr>
              <w:t>医疗废物</w:t>
            </w:r>
            <w:r>
              <w:rPr>
                <w:rFonts w:hint="eastAsia" w:ascii="宋体" w:hAnsi="宋体" w:eastAsia="宋体" w:cs="宋体"/>
                <w:color w:val="auto"/>
                <w:sz w:val="24"/>
                <w:szCs w:val="24"/>
              </w:rPr>
              <w:t>暂存间，避免了医疗固废暂存和清运时，对患者和医务人员的影响。因此，本项目总平面布置基本合理。</w:t>
            </w:r>
          </w:p>
          <w:p>
            <w:pPr>
              <w:pStyle w:val="31"/>
              <w:spacing w:line="360" w:lineRule="auto"/>
              <w:jc w:val="both"/>
              <w:rPr>
                <w:rFonts w:hint="eastAsia" w:ascii="宋体" w:hAnsi="宋体" w:cs="宋体"/>
                <w:b/>
                <w:bCs/>
                <w:color w:val="auto"/>
                <w:sz w:val="24"/>
                <w:szCs w:val="24"/>
                <w:lang w:val="en-US" w:eastAsia="zh-CN"/>
              </w:rPr>
            </w:pPr>
            <w:r>
              <w:rPr>
                <w:rFonts w:hint="eastAsia" w:ascii="宋体" w:hAnsi="宋体" w:eastAsia="宋体" w:cs="宋体"/>
                <w:b/>
                <w:bCs/>
                <w:color w:val="auto"/>
                <w:sz w:val="24"/>
                <w:szCs w:val="24"/>
                <w:lang w:val="en-US" w:eastAsia="zh-CN"/>
              </w:rPr>
              <w:t>1.</w:t>
            </w:r>
            <w:r>
              <w:rPr>
                <w:rFonts w:hint="eastAsia" w:ascii="宋体" w:hAnsi="宋体" w:cs="宋体"/>
                <w:b/>
                <w:bCs/>
                <w:color w:val="auto"/>
                <w:sz w:val="24"/>
                <w:szCs w:val="24"/>
                <w:lang w:val="en-US" w:eastAsia="zh-CN"/>
              </w:rPr>
              <w:t>2</w:t>
            </w:r>
            <w:r>
              <w:rPr>
                <w:rFonts w:hint="eastAsia" w:cs="宋体"/>
                <w:b/>
                <w:bCs/>
                <w:color w:val="auto"/>
                <w:sz w:val="24"/>
                <w:szCs w:val="24"/>
                <w:lang w:val="en-US" w:eastAsia="zh-CN"/>
              </w:rPr>
              <w:t xml:space="preserve">2 </w:t>
            </w:r>
            <w:r>
              <w:rPr>
                <w:rFonts w:hint="eastAsia" w:ascii="宋体" w:hAnsi="宋体" w:cs="宋体"/>
                <w:b/>
                <w:bCs/>
                <w:color w:val="auto"/>
                <w:sz w:val="24"/>
                <w:szCs w:val="24"/>
                <w:lang w:val="en-US" w:eastAsia="zh-CN"/>
              </w:rPr>
              <w:t>项目与外环境的关系及环境相容性分析</w:t>
            </w:r>
          </w:p>
          <w:p>
            <w:pPr>
              <w:pStyle w:val="32"/>
              <w:numPr>
                <w:ilvl w:val="3"/>
                <w:numId w:val="0"/>
              </w:numPr>
              <w:spacing w:line="360" w:lineRule="auto"/>
              <w:ind w:leftChars="0" w:firstLine="480" w:firstLineChars="200"/>
              <w:rPr>
                <w:rFonts w:hint="default"/>
                <w:color w:val="auto"/>
                <w:lang w:val="en-US" w:eastAsia="zh-CN"/>
              </w:rPr>
            </w:pPr>
            <w:r>
              <w:rPr>
                <w:rFonts w:hint="eastAsia" w:ascii="宋体" w:hAnsi="宋体" w:eastAsia="宋体" w:cs="宋体"/>
                <w:b w:val="0"/>
                <w:bCs w:val="0"/>
                <w:i w:val="0"/>
                <w:iCs w:val="0"/>
                <w:color w:val="auto"/>
                <w:kern w:val="2"/>
                <w:sz w:val="24"/>
                <w:szCs w:val="24"/>
                <w:lang w:val="en-US" w:eastAsia="zh-CN" w:bidi="ar-SA"/>
              </w:rPr>
              <w:t>项目北面为</w:t>
            </w:r>
            <w:r>
              <w:rPr>
                <w:rFonts w:hint="eastAsia" w:ascii="宋体" w:hAnsi="宋体" w:cs="宋体"/>
                <w:b w:val="0"/>
                <w:bCs w:val="0"/>
                <w:i w:val="0"/>
                <w:iCs w:val="0"/>
                <w:color w:val="auto"/>
                <w:kern w:val="2"/>
                <w:sz w:val="24"/>
                <w:szCs w:val="24"/>
                <w:lang w:val="en-US" w:eastAsia="zh-CN" w:bidi="ar-SA"/>
              </w:rPr>
              <w:t>镇政府部门及居住点，东西两侧为佛双社区居民点</w:t>
            </w:r>
            <w:r>
              <w:rPr>
                <w:rFonts w:hint="eastAsia" w:ascii="宋体" w:hAnsi="宋体" w:eastAsia="宋体" w:cs="宋体"/>
                <w:b w:val="0"/>
                <w:bCs w:val="0"/>
                <w:i w:val="0"/>
                <w:iCs w:val="0"/>
                <w:color w:val="auto"/>
                <w:kern w:val="2"/>
                <w:sz w:val="24"/>
                <w:szCs w:val="24"/>
                <w:lang w:val="en-US" w:eastAsia="zh-CN" w:bidi="ar-SA"/>
              </w:rPr>
              <w:t>，人口约</w:t>
            </w:r>
            <w:r>
              <w:rPr>
                <w:rFonts w:hint="eastAsia" w:ascii="宋体" w:hAnsi="宋体" w:cs="宋体"/>
                <w:b w:val="0"/>
                <w:bCs w:val="0"/>
                <w:i w:val="0"/>
                <w:iCs w:val="0"/>
                <w:color w:val="auto"/>
                <w:kern w:val="2"/>
                <w:sz w:val="24"/>
                <w:szCs w:val="24"/>
                <w:lang w:val="en-US" w:eastAsia="zh-CN" w:bidi="ar-SA"/>
              </w:rPr>
              <w:t>100</w:t>
            </w:r>
            <w:r>
              <w:rPr>
                <w:rFonts w:hint="eastAsia" w:ascii="宋体" w:hAnsi="宋体" w:eastAsia="宋体" w:cs="宋体"/>
                <w:b w:val="0"/>
                <w:bCs w:val="0"/>
                <w:i w:val="0"/>
                <w:iCs w:val="0"/>
                <w:color w:val="auto"/>
                <w:kern w:val="2"/>
                <w:sz w:val="24"/>
                <w:szCs w:val="24"/>
                <w:lang w:val="en-US" w:eastAsia="zh-CN" w:bidi="ar-SA"/>
              </w:rPr>
              <w:t>人，南面为中医院职工宿舍，居住人口约60人。西</w:t>
            </w:r>
            <w:r>
              <w:rPr>
                <w:rFonts w:hint="eastAsia" w:ascii="宋体" w:hAnsi="宋体" w:cs="宋体"/>
                <w:b w:val="0"/>
                <w:bCs w:val="0"/>
                <w:i w:val="0"/>
                <w:iCs w:val="0"/>
                <w:color w:val="auto"/>
                <w:kern w:val="2"/>
                <w:sz w:val="24"/>
                <w:szCs w:val="24"/>
                <w:lang w:val="en-US" w:eastAsia="zh-CN" w:bidi="ar-SA"/>
              </w:rPr>
              <w:t>南</w:t>
            </w:r>
            <w:r>
              <w:rPr>
                <w:rFonts w:hint="eastAsia" w:ascii="宋体" w:hAnsi="宋体" w:eastAsia="宋体" w:cs="宋体"/>
                <w:b w:val="0"/>
                <w:bCs w:val="0"/>
                <w:i w:val="0"/>
                <w:iCs w:val="0"/>
                <w:color w:val="auto"/>
                <w:kern w:val="2"/>
                <w:sz w:val="24"/>
                <w:szCs w:val="24"/>
                <w:lang w:val="en-US" w:eastAsia="zh-CN" w:bidi="ar-SA"/>
              </w:rPr>
              <w:t>面为曼贺村，人口约1000人。东面主要为电信营业厅、商务局等企事业单位。项目周边主要为居住区，没有工业企业，没有较大环境污染源，环境质量较好，对本卫生院影响较小。</w:t>
            </w:r>
          </w:p>
        </w:tc>
      </w:tr>
    </w:tbl>
    <w:p>
      <w:pPr>
        <w:spacing w:line="360" w:lineRule="auto"/>
        <w:outlineLvl w:val="9"/>
        <w:rPr>
          <w:rFonts w:hint="eastAsia" w:ascii="宋体" w:hAnsi="宋体" w:eastAsia="宋体" w:cs="宋体"/>
          <w:color w:val="auto"/>
          <w:sz w:val="24"/>
          <w:szCs w:val="24"/>
        </w:rPr>
        <w:sectPr>
          <w:footerReference r:id="rId6" w:type="default"/>
          <w:pgSz w:w="11906" w:h="16838"/>
          <w:pgMar w:top="1701" w:right="1531" w:bottom="1701" w:left="1531" w:header="851" w:footer="1077" w:gutter="0"/>
          <w:pgNumType w:fmt="decimal" w:start="1"/>
          <w:cols w:space="720" w:num="1"/>
          <w:docGrid w:linePitch="312" w:charSpace="0"/>
        </w:sectPr>
      </w:pPr>
    </w:p>
    <w:p>
      <w:pPr>
        <w:pStyle w:val="21"/>
        <w:jc w:val="center"/>
        <w:outlineLvl w:val="0"/>
        <w:rPr>
          <w:rFonts w:hint="eastAsia" w:ascii="宋体" w:hAnsi="宋体" w:eastAsia="宋体" w:cs="宋体"/>
          <w:snapToGrid w:val="0"/>
          <w:color w:val="auto"/>
          <w:sz w:val="32"/>
          <w:szCs w:val="32"/>
        </w:rPr>
      </w:pPr>
      <w:bookmarkStart w:id="10" w:name="_Toc28972"/>
      <w:bookmarkStart w:id="11" w:name="_Toc16958"/>
      <w:bookmarkStart w:id="12" w:name="_Toc32168"/>
      <w:r>
        <w:rPr>
          <w:rFonts w:hint="eastAsia" w:ascii="宋体" w:hAnsi="宋体" w:eastAsia="宋体" w:cs="宋体"/>
          <w:snapToGrid w:val="0"/>
          <w:color w:val="auto"/>
          <w:sz w:val="32"/>
          <w:szCs w:val="32"/>
        </w:rPr>
        <w:t>二、建设项目工程分析</w:t>
      </w:r>
      <w:bookmarkEnd w:id="10"/>
      <w:bookmarkEnd w:id="11"/>
      <w:bookmarkEnd w:id="12"/>
    </w:p>
    <w:tbl>
      <w:tblPr>
        <w:tblStyle w:val="26"/>
        <w:tblW w:w="898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3" w:type="dxa"/>
            <w:vAlign w:val="center"/>
          </w:tcPr>
          <w:p>
            <w:pPr>
              <w:pStyle w:val="21"/>
              <w:adjustRightInd w:val="0"/>
              <w:snapToGrid w:val="0"/>
              <w:spacing w:before="0" w:beforeAutospacing="0" w:after="0" w:afterAutospacing="0" w:line="360" w:lineRule="auto"/>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t>建设内容</w:t>
            </w:r>
          </w:p>
        </w:tc>
        <w:tc>
          <w:tcPr>
            <w:tcW w:w="8161" w:type="dxa"/>
            <w:vAlign w:val="top"/>
          </w:tcPr>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2.1</w:t>
            </w:r>
            <w:r>
              <w:rPr>
                <w:rFonts w:hint="eastAsia" w:ascii="宋体" w:hAnsi="宋体" w:eastAsia="宋体" w:cs="宋体"/>
                <w:b/>
                <w:bCs/>
                <w:color w:val="auto"/>
                <w:sz w:val="24"/>
                <w:szCs w:val="24"/>
              </w:rPr>
              <w:t>建设项目由来</w:t>
            </w:r>
          </w:p>
          <w:p>
            <w:pPr>
              <w:spacing w:line="360" w:lineRule="auto"/>
              <w:ind w:firstLine="560"/>
              <w:rPr>
                <w:rFonts w:hint="default" w:ascii="宋体" w:hAnsi="宋体" w:eastAsia="宋体" w:cs="宋体"/>
                <w:color w:val="auto"/>
                <w:sz w:val="24"/>
                <w:szCs w:val="24"/>
                <w:lang w:val="en-US"/>
              </w:rPr>
            </w:pPr>
            <w:r>
              <w:rPr>
                <w:rFonts w:hint="eastAsia" w:ascii="宋体" w:hAnsi="宋体" w:eastAsia="宋体" w:cs="宋体"/>
                <w:color w:val="auto"/>
                <w:sz w:val="24"/>
                <w:szCs w:val="24"/>
                <w:u w:val="none"/>
                <w:lang w:val="en-US" w:eastAsia="zh-CN"/>
              </w:rPr>
              <w:t>勐海县勐海镇卫生院始建于 1956 年 11 月，勐海县社区卫生服务中心成立于 2004 年，是两块牌子同一法人运作模式，全民所有制非营利性事业单位，是“基本医疗、公共卫生并重”的综合性医院。原址位于勐海县纬五路。 2022年勐海县人民政府将勐海县中医院老院区（勐海镇佛双路35号），划拨给勐海镇卫生院使用</w:t>
            </w:r>
            <w:r>
              <w:rPr>
                <w:rFonts w:hint="eastAsia" w:ascii="宋体" w:hAnsi="宋体" w:cs="宋体"/>
                <w:color w:val="auto"/>
                <w:sz w:val="24"/>
                <w:szCs w:val="24"/>
                <w:u w:val="none"/>
                <w:lang w:val="en-US" w:eastAsia="zh-CN"/>
              </w:rPr>
              <w:t>（勐海县人民政府批复文件见附件2）</w:t>
            </w:r>
            <w:r>
              <w:rPr>
                <w:rFonts w:hint="eastAsia" w:ascii="宋体" w:hAnsi="宋体" w:eastAsia="宋体" w:cs="宋体"/>
                <w:color w:val="auto"/>
                <w:sz w:val="24"/>
                <w:szCs w:val="24"/>
                <w:u w:val="none"/>
                <w:lang w:val="en-US" w:eastAsia="zh-CN"/>
              </w:rPr>
              <w:t>，项目于2022年8月搬迁到现有厂址并投入运营，2023年6月~8月</w:t>
            </w:r>
            <w:r>
              <w:rPr>
                <w:rFonts w:hint="eastAsia" w:ascii="宋体" w:hAnsi="宋体" w:cs="宋体"/>
                <w:color w:val="auto"/>
                <w:sz w:val="24"/>
                <w:szCs w:val="24"/>
                <w:u w:val="none"/>
                <w:lang w:val="en-US" w:eastAsia="zh-CN"/>
              </w:rPr>
              <w:t>进行医疗区提升改造</w:t>
            </w:r>
            <w:r>
              <w:rPr>
                <w:rFonts w:hint="eastAsia" w:ascii="宋体" w:hAnsi="宋体" w:eastAsia="宋体" w:cs="宋体"/>
                <w:color w:val="auto"/>
                <w:sz w:val="24"/>
                <w:szCs w:val="24"/>
                <w:u w:val="none"/>
                <w:lang w:val="en-US" w:eastAsia="zh-CN"/>
              </w:rPr>
              <w:t>，改造期间正常运营。</w:t>
            </w:r>
            <w:r>
              <w:rPr>
                <w:rFonts w:hint="eastAsia" w:ascii="宋体" w:hAnsi="宋体" w:cs="宋体"/>
                <w:color w:val="auto"/>
                <w:sz w:val="24"/>
                <w:szCs w:val="24"/>
                <w:u w:val="none"/>
                <w:lang w:val="en-US" w:eastAsia="zh-CN"/>
              </w:rPr>
              <w:t>升改造项目主要进行规划布局及翻新装修。环评期间，项目属于正常运营状态。原址现作为文体局办公用房。</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根据《建设项目环境影响评价分类管理名录》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202</w:t>
            </w:r>
            <w:r>
              <w:rPr>
                <w:rFonts w:hint="eastAsia" w:ascii="宋体" w:hAnsi="宋体" w:cs="宋体"/>
                <w:color w:val="auto"/>
                <w:sz w:val="24"/>
                <w:szCs w:val="24"/>
                <w:lang w:val="en-US" w:eastAsia="zh-CN"/>
              </w:rPr>
              <w:t>1年版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，四十九、卫生，“108 医院、专科疾病防治院</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所、站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、妇幼保健院</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所、站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、急救中心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服务、采供血机构服务、基层医疗卫生服务”中“新建、扩建住院床位500张及以上的”应编制报告书，“其他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住院床位20张以下的除外</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”应编制环境影响报告表，“住院床位20张以</w:t>
            </w:r>
            <w:r>
              <w:rPr>
                <w:rFonts w:hint="eastAsia" w:ascii="宋体" w:hAnsi="宋体" w:eastAsia="宋体" w:cs="宋体"/>
                <w:color w:val="auto"/>
                <w:sz w:val="24"/>
                <w:szCs w:val="24"/>
                <w:lang w:val="en-US" w:eastAsia="zh-CN"/>
              </w:rPr>
              <w:t>下</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不含20张住院床位的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”应编制环境影响登记表。本项目住院床位</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床，属于“其他</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住院床位20张以下的除外</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”，因此本项目应当编制环境影响报告表。同时根据《中华人民共和国环境保护法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中华人民共和国环境影响评价法》要求，勐海县勐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卫生院委托云南崇皓环境科技有限公司开展该项目环境影响报告表的编制工作，我公司接受委托后，开展了现场踏勘、资料收集工作，在对本项目工程有关环境现状和可能造成的环境影响进行分析后，依照环境影响评价技术导则的要求编制了环境影响报告表，供建设单位上报审查。</w:t>
            </w:r>
          </w:p>
          <w:p>
            <w:pPr>
              <w:spacing w:line="360" w:lineRule="auto"/>
              <w:ind w:firstLine="0"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en-US" w:eastAsia="zh-CN"/>
              </w:rPr>
              <w:t xml:space="preserve"> 主要建设内容</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镇卫生院</w:t>
            </w:r>
            <w:r>
              <w:rPr>
                <w:rFonts w:hint="eastAsia" w:ascii="宋体" w:hAnsi="宋体" w:eastAsia="宋体" w:cs="宋体"/>
                <w:color w:val="auto"/>
                <w:sz w:val="24"/>
                <w:szCs w:val="24"/>
                <w:lang w:val="en-US" w:eastAsia="zh-CN"/>
              </w:rPr>
              <w:t>共有现状建筑6栋，分别为综合楼、住宿楼、医技楼、仓库、行政楼、体检站。</w:t>
            </w:r>
            <w:r>
              <w:rPr>
                <w:rFonts w:hint="eastAsia" w:ascii="宋体" w:hAnsi="宋体" w:cs="宋体"/>
                <w:color w:val="auto"/>
                <w:sz w:val="24"/>
                <w:szCs w:val="24"/>
                <w:lang w:val="en-US" w:eastAsia="zh-CN"/>
              </w:rPr>
              <w:t>均利用原中医院现有建筑改建。</w:t>
            </w:r>
            <w:r>
              <w:rPr>
                <w:rFonts w:hint="eastAsia" w:ascii="宋体" w:hAnsi="宋体" w:eastAsia="宋体" w:cs="宋体"/>
                <w:color w:val="auto"/>
                <w:sz w:val="24"/>
                <w:szCs w:val="24"/>
                <w:lang w:val="en-US" w:eastAsia="zh-CN"/>
              </w:rPr>
              <w:t>项目占地</w:t>
            </w:r>
            <w:r>
              <w:rPr>
                <w:rFonts w:hint="eastAsia" w:ascii="宋体" w:hAnsi="宋体" w:eastAsia="宋体" w:cs="宋体"/>
                <w:color w:val="auto"/>
                <w:sz w:val="24"/>
                <w:szCs w:val="24"/>
              </w:rPr>
              <w:t>面积</w:t>
            </w:r>
            <w:r>
              <w:rPr>
                <w:rFonts w:hint="eastAsia" w:ascii="宋体" w:hAnsi="宋体" w:eastAsia="宋体" w:cs="宋体"/>
                <w:color w:val="auto"/>
                <w:sz w:val="24"/>
                <w:szCs w:val="24"/>
                <w:lang w:val="en-US" w:eastAsia="zh-CN"/>
              </w:rPr>
              <w:t>6519.50</w:t>
            </w:r>
            <w:r>
              <w:rPr>
                <w:rFonts w:hint="eastAsia" w:ascii="宋体" w:hAnsi="宋体" w:eastAsia="宋体" w:cs="宋体"/>
                <w:color w:val="auto"/>
                <w:sz w:val="24"/>
                <w:szCs w:val="24"/>
              </w:rPr>
              <w:t>㎡，房屋</w:t>
            </w:r>
            <w:r>
              <w:rPr>
                <w:rFonts w:hint="eastAsia" w:ascii="宋体" w:hAnsi="宋体" w:eastAsia="宋体" w:cs="宋体"/>
                <w:color w:val="auto"/>
                <w:sz w:val="24"/>
                <w:szCs w:val="24"/>
                <w:lang w:val="en-US" w:eastAsia="zh-CN"/>
              </w:rPr>
              <w:t>总</w:t>
            </w:r>
            <w:r>
              <w:rPr>
                <w:rFonts w:hint="eastAsia" w:ascii="宋体" w:hAnsi="宋体" w:eastAsia="宋体" w:cs="宋体"/>
                <w:color w:val="auto"/>
                <w:sz w:val="24"/>
                <w:szCs w:val="24"/>
              </w:rPr>
              <w:t>建筑面积</w:t>
            </w:r>
            <w:r>
              <w:rPr>
                <w:rFonts w:hint="eastAsia" w:ascii="宋体" w:hAnsi="宋体" w:eastAsia="宋体" w:cs="宋体"/>
                <w:color w:val="auto"/>
                <w:sz w:val="24"/>
                <w:szCs w:val="24"/>
                <w:lang w:val="en-US" w:eastAsia="zh-CN"/>
              </w:rPr>
              <w:t>6248.39</w:t>
            </w:r>
            <w:r>
              <w:rPr>
                <w:rFonts w:hint="eastAsia" w:ascii="宋体" w:hAnsi="宋体" w:eastAsia="宋体" w:cs="宋体"/>
                <w:color w:val="auto"/>
                <w:sz w:val="24"/>
                <w:szCs w:val="24"/>
              </w:rPr>
              <w:t>㎡，其中业务用房面积为</w:t>
            </w:r>
            <w:r>
              <w:rPr>
                <w:rFonts w:hint="eastAsia" w:ascii="宋体" w:hAnsi="宋体" w:eastAsia="宋体" w:cs="宋体"/>
                <w:color w:val="auto"/>
                <w:sz w:val="24"/>
                <w:szCs w:val="24"/>
                <w:lang w:val="en-US" w:eastAsia="zh-CN"/>
              </w:rPr>
              <w:t>5840.97</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床位编制数22张。</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诊疗范围为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预防保健科、全科医疗科、内科、外科、妇产科、儿科、</w:t>
            </w:r>
            <w:r>
              <w:rPr>
                <w:rFonts w:hint="eastAsia" w:ascii="宋体" w:hAnsi="宋体" w:eastAsia="宋体" w:cs="宋体"/>
                <w:color w:val="auto"/>
                <w:sz w:val="24"/>
                <w:szCs w:val="24"/>
                <w:lang w:val="en-US" w:eastAsia="zh-CN"/>
              </w:rPr>
              <w:t>精神科</w:t>
            </w:r>
            <w:r>
              <w:rPr>
                <w:rFonts w:hint="eastAsia" w:ascii="宋体" w:hAnsi="宋体" w:eastAsia="宋体" w:cs="宋体"/>
                <w:color w:val="auto"/>
                <w:sz w:val="24"/>
                <w:szCs w:val="24"/>
              </w:rPr>
              <w:t>、医学检验科、医学影像科（DR影像诊断专业）、傣医学科等。根据建设单位提供的资料，本卫生院配备有DR机、CT机等放射性仪器设备，在工作过程中会产生射线辐射。本评价不包括辐射和放射性设施方面的环境影响评价内容，卫生院单独办理相关手续。项目不设传染科，不接收传染病病人。不设置太平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项目不设置冷库，采用常规冰箱对药品进行冷冻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本项目主要建设内容见表2-1，主要经济技术指标见表</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-2。</w:t>
            </w:r>
          </w:p>
          <w:p>
            <w:pPr>
              <w:spacing w:line="360" w:lineRule="auto"/>
              <w:ind w:firstLine="0" w:firstLineChars="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表2-1  本项目主要建设内容一览表</w:t>
            </w:r>
          </w:p>
          <w:tbl>
            <w:tblPr>
              <w:tblStyle w:val="26"/>
              <w:tblW w:w="7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404"/>
              <w:gridCol w:w="674"/>
              <w:gridCol w:w="5413"/>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641" w:type="dxa"/>
                  <w:vAlign w:val="center"/>
                </w:tcPr>
                <w:p>
                  <w:pPr>
                    <w:jc w:val="both"/>
                    <w:rPr>
                      <w:rFonts w:hint="eastAsia" w:ascii="宋体" w:hAnsi="宋体" w:eastAsia="宋体" w:cs="宋体"/>
                      <w:bCs/>
                      <w:color w:val="auto"/>
                      <w:sz w:val="18"/>
                      <w:szCs w:val="18"/>
                    </w:rPr>
                  </w:pPr>
                  <w:r>
                    <w:rPr>
                      <w:rFonts w:hint="eastAsia" w:ascii="宋体" w:hAnsi="宋体" w:eastAsia="宋体" w:cs="宋体"/>
                      <w:bCs/>
                      <w:color w:val="auto"/>
                      <w:sz w:val="18"/>
                      <w:szCs w:val="18"/>
                      <w:lang w:eastAsia="zh-CN"/>
                    </w:rPr>
                    <w:t>项目</w:t>
                  </w:r>
                  <w:r>
                    <w:rPr>
                      <w:rFonts w:hint="eastAsia" w:ascii="宋体" w:hAnsi="宋体" w:eastAsia="宋体" w:cs="宋体"/>
                      <w:bCs/>
                      <w:color w:val="auto"/>
                      <w:sz w:val="18"/>
                      <w:szCs w:val="18"/>
                    </w:rPr>
                    <w:t xml:space="preserve">              </w:t>
                  </w:r>
                </w:p>
              </w:tc>
              <w:tc>
                <w:tcPr>
                  <w:tcW w:w="6491" w:type="dxa"/>
                  <w:gridSpan w:val="3"/>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建设内容与规模</w:t>
                  </w:r>
                </w:p>
              </w:tc>
              <w:tc>
                <w:tcPr>
                  <w:tcW w:w="866" w:type="dxa"/>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641" w:type="dxa"/>
                  <w:vMerge w:val="restart"/>
                  <w:vAlign w:val="center"/>
                </w:tcPr>
                <w:p>
                  <w:pPr>
                    <w:jc w:val="center"/>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lang w:eastAsia="zh-CN"/>
                    </w:rPr>
                    <w:t>主体工程</w:t>
                  </w:r>
                </w:p>
              </w:tc>
              <w:tc>
                <w:tcPr>
                  <w:tcW w:w="1078" w:type="dxa"/>
                  <w:gridSpan w:val="2"/>
                  <w:vAlign w:val="center"/>
                </w:tcPr>
                <w:p>
                  <w:pPr>
                    <w:spacing w:line="240" w:lineRule="auto"/>
                    <w:ind w:firstLine="0" w:firstLineChars="0"/>
                    <w:jc w:val="center"/>
                    <w:rPr>
                      <w:rFonts w:hint="eastAsia" w:ascii="宋体" w:hAnsi="宋体" w:eastAsia="宋体" w:cs="宋体"/>
                      <w:bCs/>
                      <w:color w:val="auto"/>
                      <w:sz w:val="18"/>
                      <w:szCs w:val="18"/>
                    </w:rPr>
                  </w:pPr>
                  <w:r>
                    <w:rPr>
                      <w:rFonts w:hint="eastAsia" w:ascii="宋体" w:hAnsi="宋体" w:eastAsia="宋体" w:cs="宋体"/>
                      <w:color w:val="auto"/>
                      <w:sz w:val="18"/>
                      <w:szCs w:val="18"/>
                      <w:lang w:val="en-US" w:eastAsia="zh-CN"/>
                    </w:rPr>
                    <w:t>综合楼</w:t>
                  </w:r>
                </w:p>
              </w:tc>
              <w:tc>
                <w:tcPr>
                  <w:tcW w:w="5413" w:type="dxa"/>
                  <w:vAlign w:val="center"/>
                </w:tcPr>
                <w:p>
                  <w:pPr>
                    <w:spacing w:line="240" w:lineRule="auto"/>
                    <w:ind w:firstLine="0" w:firstLineChars="0"/>
                    <w:jc w:val="left"/>
                    <w:rPr>
                      <w:rFonts w:hint="eastAsia" w:ascii="宋体" w:hAnsi="宋体" w:eastAsia="宋体" w:cs="宋体"/>
                      <w:bCs/>
                      <w:color w:val="auto"/>
                      <w:sz w:val="18"/>
                      <w:szCs w:val="18"/>
                      <w:lang w:val="en-US"/>
                    </w:rPr>
                  </w:pPr>
                  <w:r>
                    <w:rPr>
                      <w:rFonts w:hint="eastAsia" w:ascii="宋体" w:hAnsi="宋体" w:eastAsia="宋体" w:cs="宋体"/>
                      <w:color w:val="auto"/>
                      <w:sz w:val="18"/>
                      <w:szCs w:val="18"/>
                      <w:lang w:val="en-US" w:eastAsia="zh-CN"/>
                    </w:rPr>
                    <w:t>一栋五层</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建筑面积</w:t>
                  </w:r>
                  <w:r>
                    <w:rPr>
                      <w:rFonts w:hint="eastAsia" w:ascii="宋体" w:hAnsi="宋体" w:eastAsia="宋体" w:cs="宋体"/>
                      <w:color w:val="auto"/>
                      <w:sz w:val="18"/>
                      <w:szCs w:val="18"/>
                      <w:lang w:val="en-US" w:eastAsia="zh-CN"/>
                    </w:rPr>
                    <w:t>3326.89</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位于项目</w:t>
                  </w:r>
                  <w:r>
                    <w:rPr>
                      <w:rFonts w:hint="eastAsia" w:ascii="宋体" w:hAnsi="宋体" w:eastAsia="宋体" w:cs="宋体"/>
                      <w:color w:val="auto"/>
                      <w:sz w:val="18"/>
                      <w:szCs w:val="18"/>
                      <w:lang w:val="en-US" w:eastAsia="zh-CN"/>
                    </w:rPr>
                    <w:t>南侧。</w:t>
                  </w:r>
                  <w:r>
                    <w:rPr>
                      <w:rFonts w:hint="eastAsia" w:ascii="宋体" w:hAnsi="宋体" w:cs="宋体"/>
                      <w:color w:val="auto"/>
                      <w:sz w:val="18"/>
                      <w:szCs w:val="18"/>
                      <w:lang w:val="en-US" w:eastAsia="zh-CN"/>
                    </w:rPr>
                    <w:t>钢筋混凝土结构，层高5米。</w:t>
                  </w:r>
                  <w:r>
                    <w:rPr>
                      <w:rFonts w:hint="eastAsia" w:ascii="宋体" w:hAnsi="宋体" w:eastAsia="宋体" w:cs="宋体"/>
                      <w:color w:val="auto"/>
                      <w:sz w:val="18"/>
                      <w:szCs w:val="18"/>
                    </w:rPr>
                    <w:t>一楼：</w:t>
                  </w:r>
                  <w:r>
                    <w:rPr>
                      <w:rFonts w:hint="eastAsia" w:ascii="宋体" w:hAnsi="宋体" w:eastAsia="宋体" w:cs="宋体"/>
                      <w:color w:val="auto"/>
                      <w:sz w:val="18"/>
                      <w:szCs w:val="18"/>
                      <w:lang w:val="en-US" w:eastAsia="zh-CN"/>
                    </w:rPr>
                    <w:t>护士站、</w:t>
                  </w:r>
                  <w:r>
                    <w:rPr>
                      <w:rFonts w:hint="eastAsia" w:ascii="宋体" w:hAnsi="宋体" w:eastAsia="宋体" w:cs="宋体"/>
                      <w:color w:val="auto"/>
                      <w:sz w:val="18"/>
                      <w:szCs w:val="18"/>
                    </w:rPr>
                    <w:t>药房、收费室、</w:t>
                  </w:r>
                  <w:r>
                    <w:rPr>
                      <w:rFonts w:hint="eastAsia" w:ascii="宋体" w:hAnsi="宋体" w:eastAsia="宋体" w:cs="宋体"/>
                      <w:color w:val="auto"/>
                      <w:sz w:val="18"/>
                      <w:szCs w:val="18"/>
                      <w:lang w:val="en-US" w:eastAsia="zh-CN"/>
                    </w:rPr>
                    <w:t>门诊、输液大厅。</w:t>
                  </w:r>
                  <w:r>
                    <w:rPr>
                      <w:rFonts w:hint="eastAsia" w:ascii="宋体" w:hAnsi="宋体" w:eastAsia="宋体" w:cs="宋体"/>
                      <w:color w:val="auto"/>
                      <w:sz w:val="18"/>
                      <w:szCs w:val="18"/>
                    </w:rPr>
                    <w:t>二楼</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预防接种、儿童体检</w:t>
                  </w:r>
                  <w:r>
                    <w:rPr>
                      <w:rFonts w:hint="eastAsia" w:ascii="宋体" w:hAnsi="宋体" w:eastAsia="宋体" w:cs="宋体"/>
                      <w:color w:val="auto"/>
                      <w:sz w:val="18"/>
                      <w:szCs w:val="18"/>
                    </w:rPr>
                    <w:t>。三楼设置</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中傣医科，主要进行艾灸、针灸、熏蒸、中药封包等，提供煎药服务。四楼：住院部，设置病房9间，床位22张。五楼：手术间、会议室。</w:t>
                  </w:r>
                </w:p>
              </w:tc>
              <w:tc>
                <w:tcPr>
                  <w:tcW w:w="866" w:type="dxa"/>
                  <w:vAlign w:val="center"/>
                </w:tcPr>
                <w:p>
                  <w:pPr>
                    <w:spacing w:line="240" w:lineRule="auto"/>
                    <w:ind w:firstLine="0" w:firstLineChars="0"/>
                    <w:jc w:val="center"/>
                    <w:rPr>
                      <w:rFonts w:hint="default"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spacing w:line="240" w:lineRule="auto"/>
                    <w:ind w:firstLine="0" w:firstLineChars="0"/>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行政楼</w:t>
                  </w:r>
                </w:p>
              </w:tc>
              <w:tc>
                <w:tcPr>
                  <w:tcW w:w="5413" w:type="dxa"/>
                  <w:vAlign w:val="center"/>
                </w:tcPr>
                <w:p>
                  <w:pPr>
                    <w:spacing w:line="240" w:lineRule="auto"/>
                    <w:ind w:firstLine="0" w:firstLineChars="0"/>
                    <w:jc w:val="left"/>
                    <w:rPr>
                      <w:rFonts w:hint="default" w:ascii="宋体" w:hAnsi="宋体" w:eastAsia="宋体" w:cs="宋体"/>
                      <w:bCs/>
                      <w:color w:val="auto"/>
                      <w:kern w:val="0"/>
                      <w:sz w:val="18"/>
                      <w:szCs w:val="18"/>
                      <w:lang w:val="en-US" w:eastAsia="zh-CN"/>
                    </w:rPr>
                  </w:pPr>
                  <w:r>
                    <w:rPr>
                      <w:rFonts w:hint="eastAsia" w:ascii="宋体" w:hAnsi="宋体" w:eastAsia="宋体" w:cs="宋体"/>
                      <w:color w:val="auto"/>
                      <w:sz w:val="18"/>
                      <w:szCs w:val="18"/>
                      <w:lang w:val="en-US" w:eastAsia="zh-CN"/>
                    </w:rPr>
                    <w:t>一栋四层</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建筑面积</w:t>
                  </w:r>
                  <w:r>
                    <w:rPr>
                      <w:rFonts w:hint="eastAsia" w:ascii="宋体" w:hAnsi="宋体" w:eastAsia="宋体" w:cs="宋体"/>
                      <w:color w:val="auto"/>
                      <w:sz w:val="18"/>
                      <w:szCs w:val="18"/>
                      <w:lang w:val="en-US" w:eastAsia="zh-CN"/>
                    </w:rPr>
                    <w:t>796.30</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w:t>
                  </w:r>
                  <w:r>
                    <w:rPr>
                      <w:rFonts w:hint="eastAsia" w:ascii="宋体" w:hAnsi="宋体" w:cs="宋体"/>
                      <w:color w:val="auto"/>
                      <w:sz w:val="18"/>
                      <w:szCs w:val="18"/>
                      <w:lang w:val="en-US" w:eastAsia="zh-CN"/>
                    </w:rPr>
                    <w:t>钢筋混凝土结构，层高4米。</w:t>
                  </w:r>
                  <w:r>
                    <w:rPr>
                      <w:rFonts w:hint="eastAsia" w:ascii="宋体" w:hAnsi="宋体" w:eastAsia="宋体" w:cs="宋体"/>
                      <w:color w:val="auto"/>
                      <w:sz w:val="18"/>
                      <w:szCs w:val="18"/>
                    </w:rPr>
                    <w:t>位于</w:t>
                  </w:r>
                  <w:r>
                    <w:rPr>
                      <w:rFonts w:hint="eastAsia" w:ascii="宋体" w:hAnsi="宋体" w:eastAsia="宋体" w:cs="宋体"/>
                      <w:color w:val="auto"/>
                      <w:sz w:val="18"/>
                      <w:szCs w:val="18"/>
                      <w:lang w:val="en-US" w:eastAsia="zh-CN"/>
                    </w:rPr>
                    <w:t>项目西南侧</w:t>
                  </w:r>
                  <w:r>
                    <w:rPr>
                      <w:rFonts w:hint="eastAsia" w:ascii="宋体" w:hAnsi="宋体" w:cs="宋体"/>
                      <w:color w:val="auto"/>
                      <w:sz w:val="18"/>
                      <w:szCs w:val="18"/>
                      <w:lang w:val="en-US" w:eastAsia="zh-CN"/>
                    </w:rPr>
                    <w:t>，用于医护人员办公。</w:t>
                  </w:r>
                </w:p>
              </w:tc>
              <w:tc>
                <w:tcPr>
                  <w:tcW w:w="866" w:type="dxa"/>
                  <w:vAlign w:val="center"/>
                </w:tcPr>
                <w:p>
                  <w:pPr>
                    <w:spacing w:line="240" w:lineRule="auto"/>
                    <w:ind w:firstLine="0" w:firstLineChars="0"/>
                    <w:jc w:val="center"/>
                    <w:rPr>
                      <w:rFonts w:hint="eastAsia"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spacing w:line="240" w:lineRule="auto"/>
                    <w:ind w:firstLine="0" w:firstLineChars="0"/>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医技楼</w:t>
                  </w:r>
                </w:p>
              </w:tc>
              <w:tc>
                <w:tcPr>
                  <w:tcW w:w="5413" w:type="dxa"/>
                  <w:vAlign w:val="center"/>
                </w:tcPr>
                <w:p>
                  <w:pPr>
                    <w:spacing w:line="240" w:lineRule="auto"/>
                    <w:ind w:firstLine="0" w:firstLineChars="0"/>
                    <w:jc w:val="left"/>
                    <w:rPr>
                      <w:rFonts w:hint="eastAsia" w:ascii="宋体" w:hAnsi="宋体" w:eastAsia="宋体" w:cs="宋体"/>
                      <w:bCs/>
                      <w:color w:val="auto"/>
                      <w:kern w:val="0"/>
                      <w:sz w:val="18"/>
                      <w:szCs w:val="18"/>
                      <w:lang w:val="en-US" w:eastAsia="zh-CN"/>
                    </w:rPr>
                  </w:pPr>
                  <w:r>
                    <w:rPr>
                      <w:rFonts w:hint="eastAsia" w:ascii="宋体" w:hAnsi="宋体" w:eastAsia="宋体" w:cs="宋体"/>
                      <w:color w:val="auto"/>
                      <w:sz w:val="18"/>
                      <w:szCs w:val="18"/>
                      <w:lang w:val="en-US" w:eastAsia="zh-CN"/>
                    </w:rPr>
                    <w:t>一栋三层</w:t>
                  </w:r>
                  <w:r>
                    <w:rPr>
                      <w:rFonts w:hint="eastAsia" w:ascii="宋体" w:hAnsi="宋体" w:eastAsia="宋体" w:cs="宋体"/>
                      <w:color w:val="auto"/>
                      <w:sz w:val="18"/>
                      <w:szCs w:val="18"/>
                      <w:lang w:eastAsia="zh-CN"/>
                    </w:rPr>
                    <w:t>，</w:t>
                  </w:r>
                  <w:r>
                    <w:rPr>
                      <w:rFonts w:hint="eastAsia" w:ascii="宋体" w:hAnsi="宋体" w:cs="宋体"/>
                      <w:color w:val="auto"/>
                      <w:sz w:val="18"/>
                      <w:szCs w:val="18"/>
                      <w:lang w:val="en-US" w:eastAsia="zh-CN"/>
                    </w:rPr>
                    <w:t>砖混结构，</w:t>
                  </w:r>
                  <w:r>
                    <w:rPr>
                      <w:rFonts w:hint="eastAsia" w:ascii="宋体" w:hAnsi="宋体" w:eastAsia="宋体" w:cs="宋体"/>
                      <w:color w:val="auto"/>
                      <w:sz w:val="18"/>
                      <w:szCs w:val="18"/>
                    </w:rPr>
                    <w:t>建筑面积</w:t>
                  </w:r>
                  <w:r>
                    <w:rPr>
                      <w:rFonts w:hint="eastAsia" w:ascii="宋体" w:hAnsi="宋体" w:eastAsia="宋体" w:cs="宋体"/>
                      <w:color w:val="auto"/>
                      <w:sz w:val="18"/>
                      <w:szCs w:val="18"/>
                      <w:lang w:val="en-US" w:eastAsia="zh-CN"/>
                    </w:rPr>
                    <w:t>663.12</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位于</w:t>
                  </w:r>
                  <w:r>
                    <w:rPr>
                      <w:rFonts w:hint="eastAsia" w:ascii="宋体" w:hAnsi="宋体" w:eastAsia="宋体" w:cs="宋体"/>
                      <w:color w:val="auto"/>
                      <w:sz w:val="18"/>
                      <w:szCs w:val="18"/>
                      <w:lang w:val="en-US" w:eastAsia="zh-CN"/>
                    </w:rPr>
                    <w:t>西侧，</w:t>
                  </w:r>
                  <w:r>
                    <w:rPr>
                      <w:rFonts w:hint="eastAsia" w:ascii="宋体" w:hAnsi="宋体" w:cs="宋体"/>
                      <w:color w:val="auto"/>
                      <w:sz w:val="18"/>
                      <w:szCs w:val="18"/>
                      <w:lang w:val="en-US" w:eastAsia="zh-CN"/>
                    </w:rPr>
                    <w:t>层高4米。</w:t>
                  </w:r>
                  <w:r>
                    <w:rPr>
                      <w:rFonts w:hint="eastAsia" w:ascii="宋体" w:hAnsi="宋体" w:eastAsia="宋体" w:cs="宋体"/>
                      <w:color w:val="auto"/>
                      <w:sz w:val="18"/>
                      <w:szCs w:val="18"/>
                      <w:lang w:val="en-US" w:eastAsia="zh-CN"/>
                    </w:rPr>
                    <w:t>一楼医学影像科、二楼化验室、三楼档案室。</w:t>
                  </w:r>
                </w:p>
              </w:tc>
              <w:tc>
                <w:tcPr>
                  <w:tcW w:w="866" w:type="dxa"/>
                  <w:vAlign w:val="center"/>
                </w:tcPr>
                <w:p>
                  <w:pPr>
                    <w:spacing w:line="240" w:lineRule="auto"/>
                    <w:ind w:firstLine="0" w:firstLineChars="0"/>
                    <w:jc w:val="center"/>
                    <w:rPr>
                      <w:rFonts w:hint="eastAsia"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spacing w:line="240" w:lineRule="auto"/>
                    <w:ind w:firstLine="0" w:firstLineChars="0"/>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体检站</w:t>
                  </w:r>
                </w:p>
              </w:tc>
              <w:tc>
                <w:tcPr>
                  <w:tcW w:w="5413" w:type="dxa"/>
                  <w:vAlign w:val="center"/>
                </w:tcPr>
                <w:p>
                  <w:pPr>
                    <w:spacing w:line="240" w:lineRule="auto"/>
                    <w:ind w:firstLine="0" w:firstLineChars="0"/>
                    <w:jc w:val="left"/>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单层建筑，</w:t>
                  </w:r>
                  <w:r>
                    <w:rPr>
                      <w:rFonts w:hint="eastAsia" w:ascii="宋体" w:hAnsi="宋体" w:eastAsia="宋体" w:cs="宋体"/>
                      <w:color w:val="auto"/>
                      <w:sz w:val="18"/>
                      <w:szCs w:val="18"/>
                    </w:rPr>
                    <w:t>建筑面积</w:t>
                  </w:r>
                  <w:r>
                    <w:rPr>
                      <w:rFonts w:hint="eastAsia" w:ascii="宋体" w:hAnsi="宋体" w:eastAsia="宋体" w:cs="宋体"/>
                      <w:color w:val="auto"/>
                      <w:sz w:val="18"/>
                      <w:szCs w:val="18"/>
                      <w:lang w:val="en-US" w:eastAsia="zh-CN"/>
                    </w:rPr>
                    <w:t>376.07</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w:t>
                  </w:r>
                  <w:r>
                    <w:rPr>
                      <w:rFonts w:hint="eastAsia" w:ascii="宋体" w:hAnsi="宋体" w:cs="宋体"/>
                      <w:color w:val="auto"/>
                      <w:sz w:val="18"/>
                      <w:szCs w:val="18"/>
                      <w:lang w:val="en-US" w:eastAsia="zh-CN"/>
                    </w:rPr>
                    <w:t>砖混结构，层高3米。</w:t>
                  </w:r>
                  <w:r>
                    <w:rPr>
                      <w:rFonts w:hint="eastAsia" w:ascii="宋体" w:hAnsi="宋体" w:eastAsia="宋体" w:cs="宋体"/>
                      <w:color w:val="auto"/>
                      <w:sz w:val="18"/>
                      <w:szCs w:val="18"/>
                    </w:rPr>
                    <w:t>位于项目</w:t>
                  </w:r>
                  <w:r>
                    <w:rPr>
                      <w:rFonts w:hint="eastAsia" w:ascii="宋体" w:hAnsi="宋体" w:eastAsia="宋体" w:cs="宋体"/>
                      <w:color w:val="auto"/>
                      <w:sz w:val="18"/>
                      <w:szCs w:val="18"/>
                      <w:lang w:val="en-US" w:eastAsia="zh-CN"/>
                    </w:rPr>
                    <w:t>西北侧</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主要设置</w:t>
                  </w:r>
                  <w:r>
                    <w:rPr>
                      <w:rFonts w:hint="eastAsia" w:ascii="宋体" w:hAnsi="宋体" w:eastAsia="宋体" w:cs="宋体"/>
                      <w:color w:val="auto"/>
                      <w:sz w:val="18"/>
                      <w:szCs w:val="18"/>
                      <w:lang w:val="en-US" w:eastAsia="zh-CN"/>
                    </w:rPr>
                    <w:t>体检科。</w:t>
                  </w:r>
                </w:p>
              </w:tc>
              <w:tc>
                <w:tcPr>
                  <w:tcW w:w="866" w:type="dxa"/>
                  <w:vAlign w:val="center"/>
                </w:tcPr>
                <w:p>
                  <w:pPr>
                    <w:spacing w:line="240" w:lineRule="auto"/>
                    <w:ind w:firstLine="0" w:firstLineChars="0"/>
                    <w:jc w:val="center"/>
                    <w:rPr>
                      <w:rFonts w:hint="eastAsia"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41" w:type="dxa"/>
                  <w:vMerge w:val="restart"/>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辅助工程</w:t>
                  </w:r>
                </w:p>
              </w:tc>
              <w:tc>
                <w:tcPr>
                  <w:tcW w:w="1078" w:type="dxa"/>
                  <w:gridSpan w:val="2"/>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员工住宿区</w:t>
                  </w:r>
                </w:p>
              </w:tc>
              <w:tc>
                <w:tcPr>
                  <w:tcW w:w="5413" w:type="dxa"/>
                  <w:vAlign w:val="center"/>
                </w:tcPr>
                <w:p>
                  <w:pPr>
                    <w:spacing w:line="240" w:lineRule="auto"/>
                    <w:ind w:firstLine="0" w:firstLineChars="0"/>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一栋两层</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建筑面积</w:t>
                  </w:r>
                  <w:r>
                    <w:rPr>
                      <w:rFonts w:hint="eastAsia" w:ascii="宋体" w:hAnsi="宋体" w:eastAsia="宋体" w:cs="宋体"/>
                      <w:color w:val="auto"/>
                      <w:sz w:val="18"/>
                      <w:szCs w:val="18"/>
                      <w:lang w:val="en-US" w:eastAsia="zh-CN"/>
                    </w:rPr>
                    <w:t>382.8㎡</w:t>
                  </w:r>
                  <w:r>
                    <w:rPr>
                      <w:rFonts w:hint="eastAsia" w:ascii="宋体" w:hAnsi="宋体" w:cs="宋体"/>
                      <w:color w:val="auto"/>
                      <w:sz w:val="18"/>
                      <w:szCs w:val="18"/>
                      <w:lang w:val="en-US" w:eastAsia="zh-CN"/>
                    </w:rPr>
                    <w:t>，砖混结构，层高3米。</w:t>
                  </w:r>
                  <w:r>
                    <w:rPr>
                      <w:rFonts w:hint="eastAsia" w:ascii="宋体" w:hAnsi="宋体" w:eastAsia="宋体" w:cs="宋体"/>
                      <w:color w:val="auto"/>
                      <w:sz w:val="18"/>
                      <w:szCs w:val="18"/>
                    </w:rPr>
                    <w:t>位于项目</w:t>
                  </w:r>
                  <w:r>
                    <w:rPr>
                      <w:rFonts w:hint="eastAsia" w:ascii="宋体" w:hAnsi="宋体" w:eastAsia="宋体" w:cs="宋体"/>
                      <w:color w:val="auto"/>
                      <w:sz w:val="18"/>
                      <w:szCs w:val="18"/>
                      <w:lang w:val="en-US" w:eastAsia="zh-CN"/>
                    </w:rPr>
                    <w:t>东北</w:t>
                  </w:r>
                  <w:r>
                    <w:rPr>
                      <w:rFonts w:hint="eastAsia" w:ascii="宋体" w:hAnsi="宋体" w:eastAsia="宋体" w:cs="宋体"/>
                      <w:color w:val="auto"/>
                      <w:sz w:val="18"/>
                      <w:szCs w:val="18"/>
                    </w:rPr>
                    <w:t>侧</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一层用作药品库房，二层作为员工住宿，卫生院不设食堂。</w:t>
                  </w:r>
                </w:p>
              </w:tc>
              <w:tc>
                <w:tcPr>
                  <w:tcW w:w="866"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仓库、车库</w:t>
                  </w:r>
                </w:p>
              </w:tc>
              <w:tc>
                <w:tcPr>
                  <w:tcW w:w="5413" w:type="dxa"/>
                  <w:vAlign w:val="center"/>
                </w:tcPr>
                <w:p>
                  <w:pPr>
                    <w:keepNext w:val="0"/>
                    <w:keepLines w:val="0"/>
                    <w:widowControl/>
                    <w:suppressLineNumbers w:val="0"/>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rPr>
                    <w:t>为</w:t>
                  </w:r>
                  <w:r>
                    <w:rPr>
                      <w:rFonts w:hint="eastAsia" w:ascii="宋体" w:hAnsi="宋体" w:eastAsia="宋体" w:cs="宋体"/>
                      <w:color w:val="auto"/>
                      <w:sz w:val="18"/>
                      <w:szCs w:val="18"/>
                      <w:lang w:val="en-US" w:eastAsia="zh-CN"/>
                    </w:rPr>
                    <w:t>单</w:t>
                  </w:r>
                  <w:r>
                    <w:rPr>
                      <w:rFonts w:hint="eastAsia" w:ascii="宋体" w:hAnsi="宋体" w:eastAsia="宋体" w:cs="宋体"/>
                      <w:color w:val="auto"/>
                      <w:sz w:val="18"/>
                      <w:szCs w:val="18"/>
                    </w:rPr>
                    <w:t>层砖混结构建筑物</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建筑面积</w:t>
                  </w:r>
                  <w:r>
                    <w:rPr>
                      <w:rFonts w:hint="eastAsia" w:ascii="宋体" w:hAnsi="宋体" w:eastAsia="宋体" w:cs="宋体"/>
                      <w:color w:val="auto"/>
                      <w:kern w:val="0"/>
                      <w:sz w:val="18"/>
                      <w:szCs w:val="18"/>
                      <w:lang w:val="en-US" w:eastAsia="zh-CN" w:bidi="ar"/>
                    </w:rPr>
                    <w:t>607.97</w:t>
                  </w:r>
                  <w:r>
                    <w:rPr>
                      <w:rFonts w:hint="eastAsia" w:ascii="宋体" w:hAnsi="宋体" w:eastAsia="宋体" w:cs="宋体"/>
                      <w:color w:val="auto"/>
                      <w:sz w:val="18"/>
                      <w:szCs w:val="18"/>
                      <w:lang w:val="en-US" w:eastAsia="zh-CN"/>
                    </w:rPr>
                    <w:t>㎡。位于项目东侧。</w:t>
                  </w:r>
                </w:p>
              </w:tc>
              <w:tc>
                <w:tcPr>
                  <w:tcW w:w="866"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洗衣房</w:t>
                  </w:r>
                </w:p>
              </w:tc>
              <w:tc>
                <w:tcPr>
                  <w:tcW w:w="5413" w:type="dxa"/>
                  <w:vAlign w:val="center"/>
                </w:tcPr>
                <w:p>
                  <w:pPr>
                    <w:keepNext w:val="0"/>
                    <w:keepLines w:val="0"/>
                    <w:widowControl/>
                    <w:suppressLineNumbers w:val="0"/>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位于项目东南角，占地20㎡，洗衣机两台，用于清洗病房的床单被罩及病服。</w:t>
                  </w:r>
                </w:p>
              </w:tc>
              <w:tc>
                <w:tcPr>
                  <w:tcW w:w="866" w:type="dxa"/>
                  <w:vAlign w:val="center"/>
                </w:tcPr>
                <w:p>
                  <w:pPr>
                    <w:spacing w:line="240" w:lineRule="auto"/>
                    <w:ind w:firstLine="0" w:firstLineChars="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41" w:type="dxa"/>
                  <w:vMerge w:val="restart"/>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公用工程</w:t>
                  </w:r>
                </w:p>
              </w:tc>
              <w:tc>
                <w:tcPr>
                  <w:tcW w:w="1078" w:type="dxa"/>
                  <w:gridSpan w:val="2"/>
                  <w:vAlign w:val="center"/>
                </w:tcPr>
                <w:p>
                  <w:pPr>
                    <w:spacing w:line="240" w:lineRule="auto"/>
                    <w:ind w:firstLine="0" w:firstLineChars="0"/>
                    <w:jc w:val="center"/>
                    <w:rPr>
                      <w:rFonts w:hint="eastAsia" w:ascii="宋体" w:hAnsi="宋体" w:eastAsia="宋体" w:cs="宋体"/>
                      <w:bCs/>
                      <w:color w:val="auto"/>
                      <w:sz w:val="18"/>
                      <w:szCs w:val="18"/>
                    </w:rPr>
                  </w:pPr>
                  <w:r>
                    <w:rPr>
                      <w:rFonts w:hint="eastAsia" w:ascii="宋体" w:hAnsi="宋体" w:eastAsia="宋体" w:cs="宋体"/>
                      <w:color w:val="auto"/>
                      <w:sz w:val="18"/>
                      <w:szCs w:val="18"/>
                    </w:rPr>
                    <w:t>供配电</w:t>
                  </w:r>
                </w:p>
              </w:tc>
              <w:tc>
                <w:tcPr>
                  <w:tcW w:w="5413" w:type="dxa"/>
                  <w:vAlign w:val="center"/>
                </w:tcPr>
                <w:p>
                  <w:pPr>
                    <w:spacing w:line="240" w:lineRule="auto"/>
                    <w:ind w:firstLine="0" w:firstLineChars="0"/>
                    <w:jc w:val="left"/>
                    <w:rPr>
                      <w:rFonts w:hint="default" w:ascii="宋体" w:hAnsi="宋体" w:eastAsia="宋体" w:cs="宋体"/>
                      <w:bCs/>
                      <w:color w:val="auto"/>
                      <w:sz w:val="18"/>
                      <w:szCs w:val="18"/>
                      <w:lang w:val="en-US" w:eastAsia="zh-CN"/>
                    </w:rPr>
                  </w:pPr>
                  <w:r>
                    <w:rPr>
                      <w:rFonts w:hint="eastAsia" w:ascii="宋体" w:hAnsi="宋体" w:eastAsia="宋体" w:cs="宋体"/>
                      <w:color w:val="auto"/>
                      <w:sz w:val="18"/>
                      <w:szCs w:val="18"/>
                    </w:rPr>
                    <w:t>当地供电局电网</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项目区备有一台柴油发电机</w:t>
                  </w:r>
                  <w:r>
                    <w:rPr>
                      <w:rFonts w:hint="eastAsia" w:ascii="宋体" w:hAnsi="宋体" w:cs="宋体"/>
                      <w:color w:val="auto"/>
                      <w:sz w:val="18"/>
                      <w:szCs w:val="18"/>
                      <w:lang w:val="en-US" w:eastAsia="zh-CN"/>
                    </w:rPr>
                    <w:t>，储存200L柴油。</w:t>
                  </w:r>
                </w:p>
              </w:tc>
              <w:tc>
                <w:tcPr>
                  <w:tcW w:w="866" w:type="dxa"/>
                  <w:vAlign w:val="center"/>
                </w:tcPr>
                <w:p>
                  <w:pPr>
                    <w:spacing w:line="240" w:lineRule="auto"/>
                    <w:ind w:firstLine="0" w:firstLineChars="0"/>
                    <w:jc w:val="center"/>
                    <w:rPr>
                      <w:rFonts w:hint="eastAsia" w:ascii="宋体" w:hAnsi="宋体" w:eastAsia="宋体" w:cs="宋体"/>
                      <w:bCs/>
                      <w:color w:val="auto"/>
                      <w:sz w:val="18"/>
                      <w:szCs w:val="18"/>
                      <w:lang w:eastAsia="zh-CN"/>
                    </w:rPr>
                  </w:pPr>
                  <w:r>
                    <w:rPr>
                      <w:rFonts w:hint="eastAsia" w:ascii="宋体" w:hAnsi="宋体" w:cs="宋体"/>
                      <w:color w:val="auto"/>
                      <w:sz w:val="18"/>
                      <w:szCs w:val="18"/>
                      <w:lang w:val="en-US" w:eastAsia="zh-CN"/>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spacing w:line="240" w:lineRule="auto"/>
                    <w:ind w:firstLine="0" w:firstLineChars="0"/>
                    <w:jc w:val="center"/>
                    <w:rPr>
                      <w:rFonts w:hint="eastAsia" w:ascii="宋体" w:hAnsi="宋体" w:eastAsia="宋体" w:cs="宋体"/>
                      <w:bCs/>
                      <w:color w:val="auto"/>
                      <w:sz w:val="18"/>
                      <w:szCs w:val="18"/>
                    </w:rPr>
                  </w:pPr>
                  <w:r>
                    <w:rPr>
                      <w:rFonts w:hint="eastAsia" w:ascii="宋体" w:hAnsi="宋体" w:eastAsia="宋体" w:cs="宋体"/>
                      <w:color w:val="auto"/>
                      <w:sz w:val="18"/>
                      <w:szCs w:val="18"/>
                    </w:rPr>
                    <w:t>给、排水</w:t>
                  </w:r>
                </w:p>
              </w:tc>
              <w:tc>
                <w:tcPr>
                  <w:tcW w:w="5413" w:type="dxa"/>
                  <w:vAlign w:val="center"/>
                </w:tcPr>
                <w:p>
                  <w:pPr>
                    <w:spacing w:line="240" w:lineRule="auto"/>
                    <w:ind w:firstLine="0"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给水来自</w:t>
                  </w:r>
                  <w:r>
                    <w:rPr>
                      <w:rFonts w:hint="eastAsia" w:ascii="宋体" w:hAnsi="宋体" w:eastAsia="宋体" w:cs="宋体"/>
                      <w:color w:val="auto"/>
                      <w:sz w:val="18"/>
                      <w:szCs w:val="18"/>
                      <w:lang w:val="en-US" w:eastAsia="zh-CN"/>
                    </w:rPr>
                    <w:t>当地</w:t>
                  </w:r>
                  <w:r>
                    <w:rPr>
                      <w:rFonts w:hint="eastAsia" w:ascii="宋体" w:hAnsi="宋体" w:eastAsia="宋体" w:cs="宋体"/>
                      <w:color w:val="auto"/>
                      <w:sz w:val="18"/>
                      <w:szCs w:val="18"/>
                    </w:rPr>
                    <w:t>自来水管网；</w:t>
                  </w:r>
                </w:p>
                <w:p>
                  <w:pPr>
                    <w:spacing w:line="240" w:lineRule="auto"/>
                    <w:ind w:firstLine="0"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排水采取雨污分流制：雨水排入</w:t>
                  </w:r>
                  <w:r>
                    <w:rPr>
                      <w:rFonts w:hint="eastAsia" w:ascii="宋体" w:hAnsi="宋体" w:eastAsia="宋体" w:cs="宋体"/>
                      <w:color w:val="auto"/>
                      <w:sz w:val="18"/>
                      <w:szCs w:val="18"/>
                      <w:lang w:val="en-US" w:eastAsia="zh-CN"/>
                    </w:rPr>
                    <w:t>周边</w:t>
                  </w:r>
                  <w:r>
                    <w:rPr>
                      <w:rFonts w:hint="eastAsia" w:ascii="宋体" w:hAnsi="宋体" w:eastAsia="宋体" w:cs="宋体"/>
                      <w:color w:val="auto"/>
                      <w:sz w:val="18"/>
                      <w:szCs w:val="18"/>
                    </w:rPr>
                    <w:t>雨水</w:t>
                  </w:r>
                  <w:r>
                    <w:rPr>
                      <w:rFonts w:hint="eastAsia" w:ascii="宋体" w:hAnsi="宋体" w:eastAsia="宋体" w:cs="宋体"/>
                      <w:color w:val="auto"/>
                      <w:sz w:val="18"/>
                      <w:szCs w:val="18"/>
                      <w:lang w:val="en-US" w:eastAsia="zh-CN"/>
                    </w:rPr>
                    <w:t>沟渠</w:t>
                  </w:r>
                  <w:r>
                    <w:rPr>
                      <w:rFonts w:hint="eastAsia" w:ascii="宋体" w:hAnsi="宋体" w:eastAsia="宋体" w:cs="宋体"/>
                      <w:color w:val="auto"/>
                      <w:sz w:val="18"/>
                      <w:szCs w:val="18"/>
                    </w:rPr>
                    <w:t>，污水经污水处理设施处理后</w:t>
                  </w:r>
                  <w:r>
                    <w:rPr>
                      <w:rFonts w:hint="eastAsia" w:ascii="宋体" w:hAnsi="宋体" w:eastAsia="宋体" w:cs="宋体"/>
                      <w:color w:val="auto"/>
                      <w:sz w:val="18"/>
                      <w:szCs w:val="18"/>
                      <w:lang w:val="en-US" w:eastAsia="zh-CN"/>
                    </w:rPr>
                    <w:t xml:space="preserve">排入市政污水管网。 </w:t>
                  </w:r>
                </w:p>
              </w:tc>
              <w:tc>
                <w:tcPr>
                  <w:tcW w:w="866" w:type="dxa"/>
                  <w:vAlign w:val="center"/>
                </w:tcPr>
                <w:p>
                  <w:pPr>
                    <w:spacing w:line="240" w:lineRule="auto"/>
                    <w:ind w:firstLine="0" w:firstLineChars="0"/>
                    <w:jc w:val="center"/>
                    <w:rPr>
                      <w:rFonts w:hint="eastAsia" w:ascii="宋体" w:hAnsi="宋体" w:eastAsia="宋体" w:cs="宋体"/>
                      <w:bCs/>
                      <w:color w:val="auto"/>
                      <w:sz w:val="18"/>
                      <w:szCs w:val="18"/>
                    </w:rPr>
                  </w:pPr>
                  <w:r>
                    <w:rPr>
                      <w:rFonts w:hint="eastAsia" w:ascii="宋体" w:hAnsi="宋体" w:cs="宋体"/>
                      <w:color w:val="auto"/>
                      <w:sz w:val="18"/>
                      <w:szCs w:val="18"/>
                      <w:lang w:val="en-US" w:eastAsia="zh-CN"/>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消防</w:t>
                  </w:r>
                </w:p>
              </w:tc>
              <w:tc>
                <w:tcPr>
                  <w:tcW w:w="5413" w:type="dxa"/>
                  <w:vAlign w:val="center"/>
                </w:tcPr>
                <w:p>
                  <w:pPr>
                    <w:jc w:val="left"/>
                    <w:rPr>
                      <w:rFonts w:hint="eastAsia" w:ascii="宋体" w:hAnsi="宋体" w:eastAsia="宋体" w:cs="宋体"/>
                      <w:bCs/>
                      <w:color w:val="auto"/>
                      <w:sz w:val="18"/>
                      <w:szCs w:val="18"/>
                      <w:lang w:eastAsia="zh-CN"/>
                    </w:rPr>
                  </w:pPr>
                  <w:r>
                    <w:rPr>
                      <w:rFonts w:hint="eastAsia" w:ascii="宋体" w:hAnsi="宋体" w:eastAsia="宋体" w:cs="宋体"/>
                      <w:color w:val="auto"/>
                      <w:sz w:val="18"/>
                      <w:szCs w:val="18"/>
                      <w:lang w:val="en-US" w:eastAsia="zh-CN"/>
                    </w:rPr>
                    <w:t>项目东南侧建有微型消防站，</w:t>
                  </w:r>
                  <w:r>
                    <w:rPr>
                      <w:rFonts w:hint="eastAsia" w:ascii="宋体" w:hAnsi="宋体" w:eastAsia="宋体" w:cs="宋体"/>
                      <w:color w:val="auto"/>
                      <w:sz w:val="18"/>
                      <w:szCs w:val="18"/>
                      <w:lang w:eastAsia="zh-CN"/>
                    </w:rPr>
                    <w:t>已配备消防设备</w:t>
                  </w:r>
                </w:p>
              </w:tc>
              <w:tc>
                <w:tcPr>
                  <w:tcW w:w="866" w:type="dxa"/>
                  <w:vAlign w:val="center"/>
                </w:tcPr>
                <w:p>
                  <w:pPr>
                    <w:jc w:val="center"/>
                    <w:rPr>
                      <w:rFonts w:hint="default" w:ascii="宋体" w:hAnsi="宋体" w:eastAsia="宋体" w:cs="宋体"/>
                      <w:bCs/>
                      <w:color w:val="auto"/>
                      <w:sz w:val="18"/>
                      <w:szCs w:val="18"/>
                      <w:lang w:val="en-US"/>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jc w:val="center"/>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lang w:eastAsia="zh-CN"/>
                    </w:rPr>
                    <w:t>供热</w:t>
                  </w:r>
                </w:p>
              </w:tc>
              <w:tc>
                <w:tcPr>
                  <w:tcW w:w="5413" w:type="dxa"/>
                  <w:vAlign w:val="center"/>
                </w:tcPr>
                <w:p>
                  <w:pPr>
                    <w:jc w:val="left"/>
                    <w:rPr>
                      <w:rFonts w:hint="eastAsia" w:ascii="宋体" w:hAnsi="宋体" w:eastAsia="宋体" w:cs="宋体"/>
                      <w:color w:val="auto"/>
                      <w:sz w:val="18"/>
                      <w:szCs w:val="18"/>
                      <w:lang w:eastAsia="zh-CN"/>
                    </w:rPr>
                  </w:pPr>
                  <w:r>
                    <w:rPr>
                      <w:rFonts w:hint="eastAsia" w:ascii="宋体" w:hAnsi="宋体" w:eastAsia="宋体" w:cs="宋体"/>
                      <w:bCs/>
                      <w:color w:val="auto"/>
                      <w:sz w:val="18"/>
                      <w:szCs w:val="18"/>
                      <w:lang w:val="en-US" w:eastAsia="zh-CN"/>
                    </w:rPr>
                    <w:t>项目</w:t>
                  </w:r>
                  <w:r>
                    <w:rPr>
                      <w:rFonts w:hint="eastAsia" w:ascii="宋体" w:hAnsi="宋体" w:eastAsia="宋体" w:cs="宋体"/>
                      <w:bCs/>
                      <w:color w:val="auto"/>
                      <w:sz w:val="18"/>
                      <w:szCs w:val="18"/>
                    </w:rPr>
                    <w:t>热水采用</w:t>
                  </w:r>
                  <w:r>
                    <w:rPr>
                      <w:rFonts w:hint="eastAsia" w:ascii="宋体" w:hAnsi="宋体" w:eastAsia="宋体" w:cs="宋体"/>
                      <w:bCs/>
                      <w:color w:val="auto"/>
                      <w:sz w:val="18"/>
                      <w:szCs w:val="18"/>
                      <w:lang w:eastAsia="zh-CN"/>
                    </w:rPr>
                    <w:t>热水器</w:t>
                  </w:r>
                  <w:r>
                    <w:rPr>
                      <w:rFonts w:hint="eastAsia" w:ascii="宋体" w:hAnsi="宋体" w:eastAsia="宋体" w:cs="宋体"/>
                      <w:bCs/>
                      <w:color w:val="auto"/>
                      <w:sz w:val="18"/>
                      <w:szCs w:val="18"/>
                    </w:rPr>
                    <w:t>供热的方式</w:t>
                  </w:r>
                </w:p>
              </w:tc>
              <w:tc>
                <w:tcPr>
                  <w:tcW w:w="866" w:type="dxa"/>
                  <w:vAlign w:val="center"/>
                </w:tcPr>
                <w:p>
                  <w:pPr>
                    <w:jc w:val="center"/>
                    <w:rPr>
                      <w:rFonts w:hint="eastAsia"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jc w:val="center"/>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lang w:eastAsia="zh-CN"/>
                    </w:rPr>
                    <w:t>供氧</w:t>
                  </w:r>
                </w:p>
              </w:tc>
              <w:tc>
                <w:tcPr>
                  <w:tcW w:w="5413" w:type="dxa"/>
                  <w:vAlign w:val="center"/>
                </w:tcPr>
                <w:p>
                  <w:pPr>
                    <w:jc w:val="left"/>
                    <w:rPr>
                      <w:rFonts w:hint="eastAsia" w:ascii="宋体" w:hAnsi="宋体" w:eastAsia="宋体" w:cs="宋体"/>
                      <w:color w:val="auto"/>
                      <w:sz w:val="18"/>
                      <w:szCs w:val="18"/>
                      <w:lang w:val="en-US" w:eastAsia="zh-CN"/>
                    </w:rPr>
                  </w:pPr>
                  <w:r>
                    <w:rPr>
                      <w:rFonts w:hint="eastAsia" w:ascii="宋体" w:hAnsi="宋体" w:eastAsia="宋体" w:cs="宋体"/>
                      <w:bCs/>
                      <w:color w:val="auto"/>
                      <w:sz w:val="18"/>
                      <w:szCs w:val="18"/>
                    </w:rPr>
                    <w:t>氧气来源于外购氧气瓶，</w:t>
                  </w:r>
                  <w:r>
                    <w:rPr>
                      <w:rFonts w:hint="eastAsia" w:ascii="宋体" w:hAnsi="宋体" w:eastAsia="宋体" w:cs="宋体"/>
                      <w:bCs/>
                      <w:color w:val="auto"/>
                      <w:sz w:val="18"/>
                      <w:szCs w:val="18"/>
                      <w:lang w:eastAsia="zh-CN"/>
                    </w:rPr>
                    <w:t>（40升的2个，15升的2个）</w:t>
                  </w:r>
                  <w:r>
                    <w:rPr>
                      <w:rFonts w:hint="eastAsia" w:ascii="宋体" w:hAnsi="宋体" w:eastAsia="宋体" w:cs="宋体"/>
                      <w:bCs/>
                      <w:color w:val="auto"/>
                      <w:sz w:val="18"/>
                      <w:szCs w:val="18"/>
                    </w:rPr>
                    <w:t>氧气瓶最大存储量合计</w:t>
                  </w:r>
                  <w:r>
                    <w:rPr>
                      <w:rFonts w:hint="eastAsia" w:ascii="宋体" w:hAnsi="宋体" w:eastAsia="宋体" w:cs="宋体"/>
                      <w:bCs/>
                      <w:color w:val="auto"/>
                      <w:sz w:val="18"/>
                      <w:szCs w:val="18"/>
                      <w:lang w:val="en-US" w:eastAsia="zh-CN"/>
                    </w:rPr>
                    <w:t>0.157kg。</w:t>
                  </w:r>
                </w:p>
              </w:tc>
              <w:tc>
                <w:tcPr>
                  <w:tcW w:w="866" w:type="dxa"/>
                  <w:vAlign w:val="center"/>
                </w:tcPr>
                <w:p>
                  <w:pPr>
                    <w:jc w:val="center"/>
                    <w:rPr>
                      <w:rFonts w:hint="eastAsia"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jc w:val="center"/>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lang w:eastAsia="zh-CN"/>
                    </w:rPr>
                    <w:t>消毒</w:t>
                  </w:r>
                </w:p>
              </w:tc>
              <w:tc>
                <w:tcPr>
                  <w:tcW w:w="5413" w:type="dxa"/>
                  <w:vAlign w:val="center"/>
                </w:tcPr>
                <w:p>
                  <w:pPr>
                    <w:jc w:val="left"/>
                    <w:rPr>
                      <w:rFonts w:hint="eastAsia" w:ascii="宋体" w:hAnsi="宋体" w:eastAsia="宋体" w:cs="宋体"/>
                      <w:color w:val="auto"/>
                      <w:sz w:val="18"/>
                      <w:szCs w:val="18"/>
                      <w:lang w:eastAsia="zh-CN"/>
                    </w:rPr>
                  </w:pPr>
                  <w:r>
                    <w:rPr>
                      <w:rFonts w:hint="eastAsia" w:ascii="宋体" w:hAnsi="宋体" w:eastAsia="宋体" w:cs="宋体"/>
                      <w:bCs/>
                      <w:color w:val="auto"/>
                      <w:sz w:val="18"/>
                      <w:szCs w:val="18"/>
                    </w:rPr>
                    <w:t>医院消毒采用</w:t>
                  </w:r>
                  <w:r>
                    <w:rPr>
                      <w:rFonts w:hint="eastAsia" w:ascii="宋体" w:hAnsi="宋体" w:eastAsia="宋体" w:cs="宋体"/>
                      <w:bCs/>
                      <w:color w:val="auto"/>
                      <w:sz w:val="18"/>
                      <w:szCs w:val="18"/>
                      <w:lang w:eastAsia="zh-CN"/>
                    </w:rPr>
                    <w:t>含氯消毒片（三氯异氰尿酸）</w:t>
                  </w:r>
                  <w:r>
                    <w:rPr>
                      <w:rFonts w:hint="eastAsia" w:ascii="宋体" w:hAnsi="宋体" w:eastAsia="宋体" w:cs="宋体"/>
                      <w:bCs/>
                      <w:color w:val="auto"/>
                      <w:sz w:val="18"/>
                      <w:szCs w:val="18"/>
                      <w:lang w:val="en-US" w:eastAsia="zh-CN"/>
                    </w:rPr>
                    <w:t>消毒</w:t>
                  </w:r>
                  <w:r>
                    <w:rPr>
                      <w:rFonts w:hint="eastAsia" w:ascii="宋体" w:hAnsi="宋体" w:eastAsia="宋体" w:cs="宋体"/>
                      <w:bCs/>
                      <w:color w:val="auto"/>
                      <w:sz w:val="18"/>
                      <w:szCs w:val="18"/>
                    </w:rPr>
                    <w:t>，医院废水消毒剂为</w:t>
                  </w:r>
                  <w:r>
                    <w:rPr>
                      <w:rFonts w:hint="eastAsia" w:ascii="宋体" w:hAnsi="宋体" w:eastAsia="宋体" w:cs="宋体"/>
                      <w:bCs/>
                      <w:color w:val="auto"/>
                      <w:sz w:val="18"/>
                      <w:szCs w:val="18"/>
                      <w:lang w:val="en-US" w:eastAsia="zh-CN"/>
                    </w:rPr>
                    <w:t>臭氧消毒</w:t>
                  </w:r>
                  <w:r>
                    <w:rPr>
                      <w:rFonts w:hint="eastAsia" w:ascii="宋体" w:hAnsi="宋体" w:eastAsia="宋体" w:cs="宋体"/>
                      <w:bCs/>
                      <w:color w:val="auto"/>
                      <w:sz w:val="18"/>
                      <w:szCs w:val="18"/>
                    </w:rPr>
                    <w:t>，污泥消毒为生石灰。</w:t>
                  </w:r>
                </w:p>
              </w:tc>
              <w:tc>
                <w:tcPr>
                  <w:tcW w:w="866" w:type="dxa"/>
                  <w:vAlign w:val="center"/>
                </w:tcPr>
                <w:p>
                  <w:pPr>
                    <w:jc w:val="center"/>
                    <w:rPr>
                      <w:rFonts w:hint="eastAsia"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641" w:type="dxa"/>
                  <w:vMerge w:val="restart"/>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环保工程</w:t>
                  </w:r>
                </w:p>
              </w:tc>
              <w:tc>
                <w:tcPr>
                  <w:tcW w:w="1078" w:type="dxa"/>
                  <w:gridSpan w:val="2"/>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废气治理措施</w:t>
                  </w:r>
                </w:p>
              </w:tc>
              <w:tc>
                <w:tcPr>
                  <w:tcW w:w="5413" w:type="dxa"/>
                  <w:vAlign w:val="center"/>
                </w:tcPr>
                <w:p>
                  <w:pPr>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highlight w:val="none"/>
                      <w:lang w:val="en-US" w:eastAsia="zh-CN"/>
                    </w:rPr>
                    <w:t>项目</w:t>
                  </w:r>
                  <w:r>
                    <w:rPr>
                      <w:rFonts w:hint="eastAsia" w:ascii="宋体" w:hAnsi="宋体" w:eastAsia="宋体" w:cs="宋体"/>
                      <w:bCs/>
                      <w:color w:val="auto"/>
                      <w:sz w:val="18"/>
                      <w:szCs w:val="18"/>
                      <w:highlight w:val="none"/>
                      <w:lang w:eastAsia="zh-CN"/>
                    </w:rPr>
                    <w:t>污水处理</w:t>
                  </w:r>
                  <w:r>
                    <w:rPr>
                      <w:rFonts w:hint="eastAsia" w:ascii="宋体" w:hAnsi="宋体" w:eastAsia="宋体" w:cs="宋体"/>
                      <w:bCs/>
                      <w:color w:val="auto"/>
                      <w:sz w:val="18"/>
                      <w:szCs w:val="18"/>
                      <w:highlight w:val="none"/>
                      <w:lang w:val="en-US" w:eastAsia="zh-CN"/>
                    </w:rPr>
                    <w:t>设施产生的</w:t>
                  </w:r>
                  <w:r>
                    <w:rPr>
                      <w:rFonts w:hint="eastAsia" w:ascii="宋体" w:hAnsi="宋体" w:eastAsia="宋体" w:cs="宋体"/>
                      <w:bCs/>
                      <w:color w:val="auto"/>
                      <w:sz w:val="18"/>
                      <w:szCs w:val="18"/>
                      <w:highlight w:val="none"/>
                      <w:lang w:eastAsia="zh-CN"/>
                    </w:rPr>
                    <w:t>异味</w:t>
                  </w:r>
                  <w:r>
                    <w:rPr>
                      <w:rFonts w:hint="eastAsia" w:ascii="宋体" w:hAnsi="宋体" w:eastAsia="宋体" w:cs="宋体"/>
                      <w:bCs/>
                      <w:color w:val="auto"/>
                      <w:sz w:val="18"/>
                      <w:szCs w:val="18"/>
                      <w:highlight w:val="none"/>
                      <w:lang w:val="en-US" w:eastAsia="zh-CN"/>
                    </w:rPr>
                    <w:t>通过采用污水处理设施池体密闭加盖，并定期投加除臭剂的方式减少异味的产生。</w:t>
                  </w:r>
                  <w:r>
                    <w:rPr>
                      <w:rFonts w:hint="eastAsia" w:ascii="宋体" w:hAnsi="宋体" w:eastAsia="宋体" w:cs="宋体"/>
                      <w:color w:val="auto"/>
                      <w:sz w:val="18"/>
                      <w:szCs w:val="18"/>
                      <w:lang w:val="en-US" w:eastAsia="zh-CN"/>
                    </w:rPr>
                    <w:t>医疗废物暂存间产生的异味通过</w:t>
                  </w:r>
                  <w:r>
                    <w:rPr>
                      <w:rFonts w:hint="eastAsia" w:ascii="宋体" w:hAnsi="宋体" w:eastAsia="宋体" w:cs="宋体"/>
                      <w:bCs/>
                      <w:color w:val="auto"/>
                      <w:sz w:val="18"/>
                      <w:szCs w:val="18"/>
                      <w:highlight w:val="none"/>
                      <w:lang w:val="en-US" w:eastAsia="zh-CN"/>
                    </w:rPr>
                    <w:t>采用定期消毒杀菌，加强通风的方式减少异味的产生。</w:t>
                  </w:r>
                </w:p>
              </w:tc>
              <w:tc>
                <w:tcPr>
                  <w:tcW w:w="866" w:type="dxa"/>
                  <w:vAlign w:val="center"/>
                </w:tcPr>
                <w:p>
                  <w:pPr>
                    <w:jc w:val="center"/>
                    <w:rPr>
                      <w:rFonts w:hint="default"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41" w:type="dxa"/>
                  <w:vMerge w:val="continue"/>
                  <w:vAlign w:val="center"/>
                </w:tcPr>
                <w:p>
                  <w:pPr>
                    <w:jc w:val="center"/>
                    <w:rPr>
                      <w:rFonts w:hint="eastAsia" w:ascii="宋体" w:hAnsi="宋体" w:eastAsia="宋体" w:cs="宋体"/>
                      <w:bCs/>
                      <w:color w:val="auto"/>
                      <w:sz w:val="18"/>
                      <w:szCs w:val="18"/>
                      <w:lang w:val="en-US" w:eastAsia="zh-CN"/>
                    </w:rPr>
                  </w:pPr>
                </w:p>
              </w:tc>
              <w:tc>
                <w:tcPr>
                  <w:tcW w:w="404" w:type="dxa"/>
                  <w:vMerge w:val="restart"/>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污水处理</w:t>
                  </w:r>
                </w:p>
                <w:p>
                  <w:pPr>
                    <w:pStyle w:val="47"/>
                    <w:adjustRightInd w:val="0"/>
                    <w:snapToGrid w:val="0"/>
                    <w:spacing w:before="0"/>
                    <w:rPr>
                      <w:rFonts w:hint="eastAsia" w:ascii="宋体" w:hAnsi="宋体" w:eastAsia="宋体" w:cs="宋体"/>
                      <w:bCs/>
                      <w:color w:val="auto"/>
                      <w:sz w:val="18"/>
                      <w:szCs w:val="18"/>
                    </w:rPr>
                  </w:pPr>
                </w:p>
              </w:tc>
              <w:tc>
                <w:tcPr>
                  <w:tcW w:w="674" w:type="dxa"/>
                  <w:vAlign w:val="center"/>
                </w:tcPr>
                <w:p>
                  <w:pPr>
                    <w:pStyle w:val="47"/>
                    <w:adjustRightInd w:val="0"/>
                    <w:snapToGrid w:val="0"/>
                    <w:spacing w:before="0"/>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污水处理站</w:t>
                  </w:r>
                </w:p>
              </w:tc>
              <w:tc>
                <w:tcPr>
                  <w:tcW w:w="5413" w:type="dxa"/>
                  <w:vAlign w:val="center"/>
                </w:tcPr>
                <w:p>
                  <w:pPr>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rPr>
                    <w:t>建设</w:t>
                  </w:r>
                  <w:r>
                    <w:rPr>
                      <w:rFonts w:hint="eastAsia" w:ascii="宋体" w:hAnsi="宋体" w:eastAsia="宋体" w:cs="宋体"/>
                      <w:bCs/>
                      <w:color w:val="auto"/>
                      <w:sz w:val="18"/>
                      <w:szCs w:val="18"/>
                      <w:lang w:val="en-US" w:eastAsia="zh-CN"/>
                    </w:rPr>
                    <w:t>污水</w:t>
                  </w:r>
                  <w:r>
                    <w:rPr>
                      <w:rFonts w:hint="eastAsia" w:ascii="宋体" w:hAnsi="宋体" w:eastAsia="宋体" w:cs="宋体"/>
                      <w:bCs/>
                      <w:color w:val="auto"/>
                      <w:sz w:val="18"/>
                      <w:szCs w:val="18"/>
                    </w:rPr>
                    <w:t>处理</w:t>
                  </w:r>
                  <w:r>
                    <w:rPr>
                      <w:rFonts w:hint="eastAsia" w:ascii="宋体" w:hAnsi="宋体" w:eastAsia="宋体" w:cs="宋体"/>
                      <w:bCs/>
                      <w:color w:val="auto"/>
                      <w:sz w:val="18"/>
                      <w:szCs w:val="18"/>
                      <w:lang w:val="en-US" w:eastAsia="zh-CN"/>
                    </w:rPr>
                    <w:t>规模为10m³</w:t>
                  </w:r>
                  <w:r>
                    <w:rPr>
                      <w:rFonts w:hint="eastAsia" w:ascii="宋体" w:hAnsi="宋体" w:eastAsia="宋体" w:cs="宋体"/>
                      <w:bCs/>
                      <w:color w:val="auto"/>
                      <w:sz w:val="18"/>
                      <w:szCs w:val="18"/>
                    </w:rPr>
                    <w:t>/d的</w:t>
                  </w:r>
                  <w:r>
                    <w:rPr>
                      <w:rFonts w:hint="eastAsia" w:ascii="宋体" w:hAnsi="宋体" w:eastAsia="宋体" w:cs="宋体"/>
                      <w:bCs/>
                      <w:color w:val="auto"/>
                      <w:sz w:val="18"/>
                      <w:szCs w:val="18"/>
                      <w:lang w:val="en-US" w:eastAsia="zh-CN"/>
                    </w:rPr>
                    <w:t>一体化污水处理设施</w:t>
                  </w:r>
                  <w:r>
                    <w:rPr>
                      <w:rFonts w:hint="eastAsia" w:ascii="宋体" w:hAnsi="宋体" w:eastAsia="宋体" w:cs="宋体"/>
                      <w:bCs/>
                      <w:color w:val="auto"/>
                      <w:sz w:val="18"/>
                      <w:szCs w:val="18"/>
                    </w:rPr>
                    <w:t>，用于处理整个项目内产生的废水。</w:t>
                  </w:r>
                  <w:r>
                    <w:rPr>
                      <w:rFonts w:hint="eastAsia" w:ascii="宋体" w:hAnsi="宋体" w:eastAsia="宋体" w:cs="宋体"/>
                      <w:bCs/>
                      <w:color w:val="auto"/>
                      <w:sz w:val="18"/>
                      <w:szCs w:val="18"/>
                      <w:lang w:eastAsia="zh-CN"/>
                    </w:rPr>
                    <w:t>（</w:t>
                  </w:r>
                  <w:r>
                    <w:rPr>
                      <w:rFonts w:hint="eastAsia" w:ascii="宋体" w:hAnsi="宋体" w:eastAsia="宋体" w:cs="宋体"/>
                      <w:bCs/>
                      <w:color w:val="auto"/>
                      <w:sz w:val="18"/>
                      <w:szCs w:val="18"/>
                      <w:lang w:val="en-US" w:eastAsia="zh-CN"/>
                    </w:rPr>
                    <w:t>采用AO生物处理+臭氧</w:t>
                  </w:r>
                  <w:r>
                    <w:rPr>
                      <w:rFonts w:hint="eastAsia" w:ascii="宋体" w:hAnsi="宋体" w:eastAsia="宋体" w:cs="宋体"/>
                      <w:color w:val="auto"/>
                      <w:sz w:val="18"/>
                      <w:szCs w:val="18"/>
                    </w:rPr>
                    <w:t>消毒工艺</w:t>
                  </w:r>
                  <w:r>
                    <w:rPr>
                      <w:rFonts w:hint="eastAsia" w:ascii="宋体" w:hAnsi="宋体" w:eastAsia="宋体" w:cs="宋体"/>
                      <w:color w:val="auto"/>
                      <w:sz w:val="18"/>
                      <w:szCs w:val="18"/>
                      <w:lang w:eastAsia="zh-CN"/>
                    </w:rPr>
                    <w:t>）。</w:t>
                  </w:r>
                  <w:r>
                    <w:rPr>
                      <w:rFonts w:hint="eastAsia" w:ascii="宋体" w:hAnsi="宋体" w:eastAsia="宋体" w:cs="宋体"/>
                      <w:bCs/>
                      <w:color w:val="auto"/>
                      <w:sz w:val="18"/>
                      <w:szCs w:val="18"/>
                      <w:highlight w:val="none"/>
                      <w:lang w:val="en-US" w:eastAsia="zh-CN"/>
                    </w:rPr>
                    <w:t xml:space="preserve"> </w:t>
                  </w:r>
                </w:p>
              </w:tc>
              <w:tc>
                <w:tcPr>
                  <w:tcW w:w="866" w:type="dxa"/>
                  <w:vAlign w:val="center"/>
                </w:tcPr>
                <w:p>
                  <w:pPr>
                    <w:jc w:val="center"/>
                    <w:rPr>
                      <w:rFonts w:hint="default"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41" w:type="dxa"/>
                  <w:vMerge w:val="continue"/>
                  <w:vAlign w:val="center"/>
                </w:tcPr>
                <w:p>
                  <w:pPr>
                    <w:jc w:val="center"/>
                    <w:rPr>
                      <w:rFonts w:hint="eastAsia" w:ascii="宋体" w:hAnsi="宋体" w:eastAsia="宋体" w:cs="宋体"/>
                      <w:bCs/>
                      <w:color w:val="auto"/>
                      <w:sz w:val="18"/>
                      <w:szCs w:val="18"/>
                      <w:lang w:val="en-US" w:eastAsia="zh-CN"/>
                    </w:rPr>
                  </w:pPr>
                </w:p>
              </w:tc>
              <w:tc>
                <w:tcPr>
                  <w:tcW w:w="404" w:type="dxa"/>
                  <w:vMerge w:val="continue"/>
                  <w:vAlign w:val="center"/>
                </w:tcPr>
                <w:p>
                  <w:pPr>
                    <w:jc w:val="center"/>
                    <w:rPr>
                      <w:rFonts w:hint="eastAsia" w:ascii="宋体" w:hAnsi="宋体" w:eastAsia="宋体" w:cs="宋体"/>
                      <w:bCs/>
                      <w:color w:val="auto"/>
                      <w:sz w:val="18"/>
                      <w:szCs w:val="18"/>
                    </w:rPr>
                  </w:pPr>
                </w:p>
              </w:tc>
              <w:tc>
                <w:tcPr>
                  <w:tcW w:w="674" w:type="dxa"/>
                  <w:vAlign w:val="center"/>
                </w:tcPr>
                <w:p>
                  <w:pPr>
                    <w:pStyle w:val="47"/>
                    <w:adjustRightInd w:val="0"/>
                    <w:snapToGrid w:val="0"/>
                    <w:spacing w:before="0"/>
                    <w:rPr>
                      <w:rFonts w:hint="eastAsia" w:ascii="宋体" w:hAnsi="宋体" w:eastAsia="宋体" w:cs="宋体"/>
                      <w:bCs/>
                      <w:color w:val="auto"/>
                      <w:sz w:val="18"/>
                      <w:szCs w:val="18"/>
                    </w:rPr>
                  </w:pPr>
                  <w:r>
                    <w:rPr>
                      <w:rFonts w:hint="eastAsia" w:ascii="宋体" w:hAnsi="宋体" w:eastAsia="宋体" w:cs="宋体"/>
                      <w:color w:val="auto"/>
                      <w:sz w:val="18"/>
                      <w:szCs w:val="18"/>
                      <w:lang w:val="en-US" w:eastAsia="zh-CN"/>
                    </w:rPr>
                    <w:t>化粪池</w:t>
                  </w:r>
                </w:p>
              </w:tc>
              <w:tc>
                <w:tcPr>
                  <w:tcW w:w="5413" w:type="dxa"/>
                  <w:vAlign w:val="center"/>
                </w:tcPr>
                <w:p>
                  <w:pPr>
                    <w:jc w:val="left"/>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lang w:val="en-US" w:eastAsia="zh-CN"/>
                    </w:rPr>
                    <w:t>2</w:t>
                  </w:r>
                  <w:r>
                    <w:rPr>
                      <w:rFonts w:hint="eastAsia" w:ascii="宋体" w:hAnsi="宋体" w:eastAsia="宋体" w:cs="宋体"/>
                      <w:bCs/>
                      <w:color w:val="auto"/>
                      <w:sz w:val="18"/>
                      <w:szCs w:val="18"/>
                    </w:rPr>
                    <w:t>个，</w:t>
                  </w:r>
                  <w:r>
                    <w:rPr>
                      <w:rFonts w:hint="eastAsia" w:ascii="宋体" w:hAnsi="宋体" w:eastAsia="宋体" w:cs="宋体"/>
                      <w:bCs/>
                      <w:color w:val="auto"/>
                      <w:sz w:val="18"/>
                      <w:szCs w:val="18"/>
                      <w:lang w:val="en-US" w:eastAsia="zh-CN"/>
                    </w:rPr>
                    <w:t>员工住宿楼</w:t>
                  </w:r>
                  <w:r>
                    <w:rPr>
                      <w:rFonts w:hint="eastAsia" w:ascii="宋体" w:hAnsi="宋体" w:eastAsia="宋体" w:cs="宋体"/>
                      <w:bCs/>
                      <w:color w:val="auto"/>
                      <w:sz w:val="18"/>
                      <w:szCs w:val="18"/>
                      <w:lang w:eastAsia="zh-CN"/>
                    </w:rPr>
                    <w:t>旁的化粪池</w:t>
                  </w:r>
                  <w:r>
                    <w:rPr>
                      <w:rFonts w:hint="eastAsia" w:ascii="宋体" w:hAnsi="宋体" w:eastAsia="宋体" w:cs="宋体"/>
                      <w:bCs/>
                      <w:color w:val="auto"/>
                      <w:sz w:val="18"/>
                      <w:szCs w:val="18"/>
                    </w:rPr>
                    <w:t>容积</w:t>
                  </w:r>
                  <w:r>
                    <w:rPr>
                      <w:rFonts w:hint="eastAsia" w:ascii="宋体" w:hAnsi="宋体" w:eastAsia="宋体" w:cs="宋体"/>
                      <w:bCs/>
                      <w:color w:val="auto"/>
                      <w:sz w:val="18"/>
                      <w:szCs w:val="18"/>
                      <w:lang w:val="en-US" w:eastAsia="zh-CN"/>
                    </w:rPr>
                    <w:t>为30m³，一体化污水处理系统旁的化粪池</w:t>
                  </w:r>
                  <w:r>
                    <w:rPr>
                      <w:rFonts w:hint="eastAsia" w:ascii="宋体" w:hAnsi="宋体" w:eastAsia="宋体" w:cs="宋体"/>
                      <w:bCs/>
                      <w:color w:val="auto"/>
                      <w:sz w:val="18"/>
                      <w:szCs w:val="18"/>
                    </w:rPr>
                    <w:t>容积</w:t>
                  </w:r>
                  <w:r>
                    <w:rPr>
                      <w:rFonts w:hint="eastAsia" w:ascii="宋体" w:hAnsi="宋体" w:eastAsia="宋体" w:cs="宋体"/>
                      <w:bCs/>
                      <w:color w:val="auto"/>
                      <w:sz w:val="18"/>
                      <w:szCs w:val="18"/>
                      <w:lang w:val="en-US" w:eastAsia="zh-CN"/>
                    </w:rPr>
                    <w:t>为30m³。</w:t>
                  </w:r>
                </w:p>
              </w:tc>
              <w:tc>
                <w:tcPr>
                  <w:tcW w:w="866" w:type="dxa"/>
                  <w:vAlign w:val="center"/>
                </w:tcPr>
                <w:p>
                  <w:pPr>
                    <w:jc w:val="center"/>
                    <w:rPr>
                      <w:rFonts w:hint="eastAsia" w:ascii="宋体" w:hAnsi="宋体" w:eastAsia="宋体" w:cs="宋体"/>
                      <w:bCs/>
                      <w:color w:val="auto"/>
                      <w:sz w:val="18"/>
                      <w:szCs w:val="18"/>
                      <w:lang w:val="en-US" w:eastAsia="zh-CN"/>
                    </w:rPr>
                  </w:pPr>
                  <w:r>
                    <w:rPr>
                      <w:rFonts w:hint="eastAsia" w:ascii="宋体" w:hAnsi="宋体" w:cs="宋体"/>
                      <w:color w:val="auto"/>
                      <w:sz w:val="18"/>
                      <w:szCs w:val="18"/>
                      <w:lang w:val="en-US" w:eastAsia="zh-CN"/>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41" w:type="dxa"/>
                  <w:vMerge w:val="continue"/>
                  <w:vAlign w:val="center"/>
                </w:tcPr>
                <w:p>
                  <w:pPr>
                    <w:jc w:val="center"/>
                    <w:rPr>
                      <w:rFonts w:hint="eastAsia" w:ascii="宋体" w:hAnsi="宋体" w:eastAsia="宋体" w:cs="宋体"/>
                      <w:bCs/>
                      <w:color w:val="auto"/>
                      <w:sz w:val="18"/>
                      <w:szCs w:val="18"/>
                      <w:lang w:val="en-US" w:eastAsia="zh-CN"/>
                    </w:rPr>
                  </w:pPr>
                </w:p>
              </w:tc>
              <w:tc>
                <w:tcPr>
                  <w:tcW w:w="404" w:type="dxa"/>
                  <w:vMerge w:val="continue"/>
                  <w:vAlign w:val="center"/>
                </w:tcPr>
                <w:p>
                  <w:pPr>
                    <w:jc w:val="center"/>
                    <w:rPr>
                      <w:rFonts w:hint="eastAsia" w:ascii="宋体" w:hAnsi="宋体" w:eastAsia="宋体" w:cs="宋体"/>
                      <w:bCs/>
                      <w:color w:val="auto"/>
                      <w:sz w:val="18"/>
                      <w:szCs w:val="18"/>
                    </w:rPr>
                  </w:pPr>
                </w:p>
              </w:tc>
              <w:tc>
                <w:tcPr>
                  <w:tcW w:w="674" w:type="dxa"/>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事故池</w:t>
                  </w:r>
                </w:p>
              </w:tc>
              <w:tc>
                <w:tcPr>
                  <w:tcW w:w="5413" w:type="dxa"/>
                  <w:vAlign w:val="center"/>
                </w:tcPr>
                <w:p>
                  <w:pPr>
                    <w:adjustRightInd w:val="0"/>
                    <w:snapToGrid w:val="0"/>
                    <w:jc w:val="left"/>
                    <w:rPr>
                      <w:rFonts w:hint="eastAsia" w:ascii="宋体" w:hAnsi="宋体" w:eastAsia="宋体" w:cs="宋体"/>
                      <w:bCs/>
                      <w:color w:val="auto"/>
                      <w:sz w:val="18"/>
                      <w:szCs w:val="18"/>
                      <w:lang w:val="en-US" w:eastAsia="zh-CN"/>
                    </w:rPr>
                  </w:pPr>
                  <w:r>
                    <w:rPr>
                      <w:rFonts w:hint="eastAsia" w:ascii="宋体" w:hAnsi="宋体" w:eastAsia="宋体" w:cs="宋体"/>
                      <w:color w:val="auto"/>
                      <w:kern w:val="0"/>
                      <w:sz w:val="18"/>
                      <w:szCs w:val="18"/>
                      <w:lang w:bidi="ar"/>
                    </w:rPr>
                    <w:t>根据《医院污水处理工程技术规范》（HJ2029-2013）中12.4.1要求，非传染性医院污水处理工程应急事故池容积不小于日排放量的30%，项目废水日排放量为</w:t>
                  </w:r>
                  <w:r>
                    <w:rPr>
                      <w:rFonts w:hint="eastAsia" w:ascii="宋体" w:hAnsi="宋体" w:eastAsia="宋体" w:cs="宋体"/>
                      <w:color w:val="auto"/>
                      <w:kern w:val="0"/>
                      <w:sz w:val="18"/>
                      <w:szCs w:val="18"/>
                      <w:lang w:val="en-US" w:eastAsia="zh-CN" w:bidi="ar"/>
                    </w:rPr>
                    <w:t>7.602</w:t>
                  </w:r>
                  <w:r>
                    <w:rPr>
                      <w:rFonts w:hint="eastAsia" w:ascii="宋体" w:hAnsi="宋体" w:eastAsia="宋体" w:cs="宋体"/>
                      <w:color w:val="auto"/>
                      <w:kern w:val="0"/>
                      <w:sz w:val="18"/>
                      <w:szCs w:val="18"/>
                      <w:lang w:bidi="ar"/>
                    </w:rPr>
                    <w:t>m</w:t>
                  </w:r>
                  <w:r>
                    <w:rPr>
                      <w:rFonts w:hint="eastAsia" w:ascii="宋体" w:hAnsi="宋体" w:eastAsia="宋体" w:cs="宋体"/>
                      <w:color w:val="auto"/>
                      <w:kern w:val="0"/>
                      <w:sz w:val="18"/>
                      <w:szCs w:val="18"/>
                      <w:vertAlign w:val="superscript"/>
                      <w:lang w:bidi="ar"/>
                    </w:rPr>
                    <w:t>3</w:t>
                  </w:r>
                  <w:r>
                    <w:rPr>
                      <w:rFonts w:hint="eastAsia" w:ascii="宋体" w:hAnsi="宋体" w:eastAsia="宋体" w:cs="宋体"/>
                      <w:color w:val="auto"/>
                      <w:kern w:val="0"/>
                      <w:sz w:val="18"/>
                      <w:szCs w:val="18"/>
                      <w:lang w:bidi="ar"/>
                    </w:rPr>
                    <w:t>/d，因此项目应在一体化污水处理设备附近设置1个</w:t>
                  </w:r>
                  <w:r>
                    <w:rPr>
                      <w:rFonts w:hint="eastAsia" w:ascii="宋体" w:hAnsi="宋体" w:cs="宋体"/>
                      <w:color w:val="auto"/>
                      <w:kern w:val="0"/>
                      <w:sz w:val="18"/>
                      <w:szCs w:val="18"/>
                      <w:lang w:val="en-US" w:eastAsia="zh-CN" w:bidi="ar"/>
                    </w:rPr>
                    <w:t>容积</w:t>
                  </w:r>
                  <w:r>
                    <w:rPr>
                      <w:rFonts w:hint="eastAsia" w:ascii="宋体" w:hAnsi="宋体" w:eastAsia="宋体" w:cs="宋体"/>
                      <w:color w:val="auto"/>
                      <w:kern w:val="0"/>
                      <w:sz w:val="18"/>
                      <w:szCs w:val="18"/>
                      <w:lang w:bidi="ar"/>
                    </w:rPr>
                    <w:t>不小于3m</w:t>
                  </w:r>
                  <w:r>
                    <w:rPr>
                      <w:rFonts w:hint="eastAsia" w:ascii="宋体" w:hAnsi="宋体" w:eastAsia="宋体" w:cs="宋体"/>
                      <w:color w:val="auto"/>
                      <w:kern w:val="0"/>
                      <w:sz w:val="18"/>
                      <w:szCs w:val="18"/>
                      <w:vertAlign w:val="superscript"/>
                      <w:lang w:bidi="ar"/>
                    </w:rPr>
                    <w:t>3</w:t>
                  </w:r>
                  <w:r>
                    <w:rPr>
                      <w:rFonts w:hint="eastAsia" w:ascii="宋体" w:hAnsi="宋体" w:cs="宋体"/>
                      <w:color w:val="auto"/>
                      <w:kern w:val="0"/>
                      <w:sz w:val="18"/>
                      <w:szCs w:val="18"/>
                      <w:vertAlign w:val="baseline"/>
                      <w:lang w:val="en-US" w:eastAsia="zh-CN" w:bidi="ar"/>
                    </w:rPr>
                    <w:t>的</w:t>
                  </w:r>
                  <w:r>
                    <w:rPr>
                      <w:rFonts w:hint="eastAsia" w:ascii="宋体" w:hAnsi="宋体" w:eastAsia="宋体" w:cs="宋体"/>
                      <w:color w:val="auto"/>
                      <w:kern w:val="0"/>
                      <w:sz w:val="18"/>
                      <w:szCs w:val="18"/>
                      <w:lang w:bidi="ar"/>
                    </w:rPr>
                    <w:t>废水事故池，位于项目污水处理站附近，用于存储事故状态废水。对</w:t>
                  </w:r>
                  <w:r>
                    <w:rPr>
                      <w:rFonts w:hint="eastAsia" w:ascii="宋体" w:hAnsi="宋体" w:eastAsia="宋体" w:cs="宋体"/>
                      <w:color w:val="auto"/>
                      <w:sz w:val="18"/>
                      <w:szCs w:val="18"/>
                    </w:rPr>
                    <w:t>地面和1米高的墙裙进行防渗处理，采用2mm厚高密度聚乙烯防渗材料，渗透系数≤1.0×10</w:t>
                  </w:r>
                  <w:r>
                    <w:rPr>
                      <w:rFonts w:hint="eastAsia" w:ascii="宋体" w:hAnsi="宋体" w:cs="宋体"/>
                      <w:color w:val="auto"/>
                      <w:sz w:val="18"/>
                      <w:szCs w:val="18"/>
                      <w:vertAlign w:val="superscript"/>
                      <w:lang w:val="en-US" w:eastAsia="zh-CN"/>
                    </w:rPr>
                    <w:t>7</w:t>
                  </w:r>
                  <w:r>
                    <w:rPr>
                      <w:rFonts w:hint="eastAsia" w:ascii="宋体" w:hAnsi="宋体" w:eastAsia="宋体" w:cs="宋体"/>
                      <w:color w:val="auto"/>
                      <w:sz w:val="18"/>
                      <w:szCs w:val="18"/>
                    </w:rPr>
                    <w:t>cm/s。</w:t>
                  </w:r>
                </w:p>
              </w:tc>
              <w:tc>
                <w:tcPr>
                  <w:tcW w:w="866" w:type="dxa"/>
                  <w:vAlign w:val="center"/>
                </w:tcPr>
                <w:p>
                  <w:pPr>
                    <w:adjustRightInd w:val="0"/>
                    <w:snapToGrid w:val="0"/>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本次环评要求新建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41" w:type="dxa"/>
                  <w:vMerge w:val="continue"/>
                  <w:vAlign w:val="center"/>
                </w:tcPr>
                <w:p>
                  <w:pPr>
                    <w:jc w:val="center"/>
                    <w:rPr>
                      <w:rFonts w:hint="eastAsia" w:ascii="宋体" w:hAnsi="宋体" w:eastAsia="宋体" w:cs="宋体"/>
                      <w:bCs/>
                      <w:color w:val="auto"/>
                      <w:sz w:val="18"/>
                      <w:szCs w:val="18"/>
                      <w:lang w:val="en-US" w:eastAsia="zh-CN"/>
                    </w:rPr>
                  </w:pPr>
                </w:p>
              </w:tc>
              <w:tc>
                <w:tcPr>
                  <w:tcW w:w="404" w:type="dxa"/>
                  <w:vMerge w:val="continue"/>
                  <w:vAlign w:val="center"/>
                </w:tcPr>
                <w:p>
                  <w:pPr>
                    <w:pStyle w:val="47"/>
                    <w:adjustRightInd w:val="0"/>
                    <w:snapToGrid w:val="0"/>
                    <w:spacing w:before="0"/>
                    <w:rPr>
                      <w:rFonts w:hint="eastAsia" w:ascii="宋体" w:hAnsi="宋体" w:eastAsia="宋体" w:cs="宋体"/>
                      <w:bCs/>
                      <w:color w:val="auto"/>
                      <w:sz w:val="18"/>
                      <w:szCs w:val="18"/>
                    </w:rPr>
                  </w:pPr>
                </w:p>
              </w:tc>
              <w:tc>
                <w:tcPr>
                  <w:tcW w:w="674" w:type="dxa"/>
                  <w:vAlign w:val="center"/>
                </w:tcPr>
                <w:p>
                  <w:pPr>
                    <w:pStyle w:val="47"/>
                    <w:adjustRightInd w:val="0"/>
                    <w:snapToGrid w:val="0"/>
                    <w:spacing w:before="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检验废水预处理桶</w:t>
                  </w:r>
                </w:p>
              </w:tc>
              <w:tc>
                <w:tcPr>
                  <w:tcW w:w="5413" w:type="dxa"/>
                  <w:vAlign w:val="center"/>
                </w:tcPr>
                <w:p>
                  <w:pPr>
                    <w:pStyle w:val="47"/>
                    <w:adjustRightInd w:val="0"/>
                    <w:snapToGrid w:val="0"/>
                    <w:spacing w:before="0"/>
                    <w:jc w:val="left"/>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rPr>
                    <w:t>检验科</w:t>
                  </w:r>
                  <w:r>
                    <w:rPr>
                      <w:rFonts w:hint="eastAsia" w:ascii="宋体" w:hAnsi="宋体" w:eastAsia="宋体" w:cs="宋体"/>
                      <w:color w:val="auto"/>
                      <w:sz w:val="18"/>
                      <w:szCs w:val="18"/>
                      <w:lang w:val="en-US"/>
                    </w:rPr>
                    <w:t>设置</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val="en-US"/>
                    </w:rPr>
                    <w:t>个有效</w:t>
                  </w:r>
                  <w:r>
                    <w:rPr>
                      <w:rFonts w:hint="eastAsia" w:ascii="宋体" w:hAnsi="宋体" w:eastAsia="宋体" w:cs="宋体"/>
                      <w:color w:val="auto"/>
                      <w:sz w:val="18"/>
                      <w:szCs w:val="18"/>
                    </w:rPr>
                    <w:t>容积为</w:t>
                  </w:r>
                  <w:r>
                    <w:rPr>
                      <w:rFonts w:hint="eastAsia" w:ascii="宋体" w:hAnsi="宋体" w:eastAsia="宋体" w:cs="宋体"/>
                      <w:color w:val="auto"/>
                      <w:sz w:val="18"/>
                      <w:szCs w:val="18"/>
                      <w:lang w:val="en-US"/>
                    </w:rPr>
                    <w:t>0.</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的检验废水预处理桶。用于收集检验废水进行预处理。</w:t>
                  </w:r>
                </w:p>
              </w:tc>
              <w:tc>
                <w:tcPr>
                  <w:tcW w:w="866" w:type="dxa"/>
                  <w:vAlign w:val="center"/>
                </w:tcPr>
                <w:p>
                  <w:pPr>
                    <w:adjustRightInd w:val="0"/>
                    <w:snapToGrid w:val="0"/>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本次环评要求新建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404" w:type="dxa"/>
                  <w:vMerge w:val="restart"/>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固废处置</w:t>
                  </w:r>
                </w:p>
              </w:tc>
              <w:tc>
                <w:tcPr>
                  <w:tcW w:w="674"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检验室废液</w:t>
                  </w:r>
                  <w:r>
                    <w:rPr>
                      <w:rFonts w:hint="eastAsia" w:ascii="宋体" w:hAnsi="宋体" w:eastAsia="宋体" w:cs="宋体"/>
                      <w:color w:val="auto"/>
                      <w:sz w:val="18"/>
                      <w:szCs w:val="18"/>
                      <w:lang w:val="en-US" w:eastAsia="zh-CN"/>
                    </w:rPr>
                    <w:t>灭菌器</w:t>
                  </w:r>
                </w:p>
              </w:tc>
              <w:tc>
                <w:tcPr>
                  <w:tcW w:w="5413" w:type="dxa"/>
                  <w:vAlign w:val="center"/>
                </w:tcPr>
                <w:p>
                  <w:pPr>
                    <w:jc w:val="left"/>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个，</w:t>
                  </w:r>
                  <w:r>
                    <w:rPr>
                      <w:rFonts w:hint="eastAsia" w:ascii="宋体" w:hAnsi="宋体" w:eastAsia="宋体" w:cs="宋体"/>
                      <w:color w:val="auto"/>
                      <w:sz w:val="18"/>
                      <w:szCs w:val="18"/>
                      <w:lang w:val="en-US" w:eastAsia="zh-CN"/>
                    </w:rPr>
                    <w:t>立式压力蒸汽灭菌器</w:t>
                  </w:r>
                  <w:r>
                    <w:rPr>
                      <w:rFonts w:hint="eastAsia" w:ascii="宋体" w:hAnsi="宋体" w:eastAsia="宋体" w:cs="宋体"/>
                      <w:color w:val="auto"/>
                      <w:sz w:val="18"/>
                      <w:szCs w:val="18"/>
                    </w:rPr>
                    <w:t>，设置于检验室，用于检验科</w:t>
                  </w:r>
                  <w:r>
                    <w:rPr>
                      <w:rFonts w:hint="eastAsia" w:ascii="宋体" w:hAnsi="宋体" w:eastAsia="宋体" w:cs="宋体"/>
                      <w:color w:val="auto"/>
                      <w:sz w:val="18"/>
                      <w:szCs w:val="18"/>
                      <w:lang w:val="en-US" w:eastAsia="zh-CN"/>
                    </w:rPr>
                    <w:t>产生的血样废液</w:t>
                  </w:r>
                  <w:r>
                    <w:rPr>
                      <w:rFonts w:hint="eastAsia" w:ascii="宋体" w:hAnsi="宋体" w:eastAsia="宋体" w:cs="宋体"/>
                      <w:color w:val="auto"/>
                      <w:sz w:val="18"/>
                      <w:szCs w:val="18"/>
                    </w:rPr>
                    <w:t>预处理。</w:t>
                  </w:r>
                  <w:r>
                    <w:rPr>
                      <w:rFonts w:hint="eastAsia" w:ascii="宋体" w:hAnsi="宋体" w:eastAsia="宋体" w:cs="宋体"/>
                      <w:color w:val="auto"/>
                      <w:sz w:val="18"/>
                      <w:szCs w:val="18"/>
                      <w:lang w:val="en-US" w:eastAsia="zh-CN"/>
                    </w:rPr>
                    <w:t>杀菌处理后暂存于医疗废物暂存间。</w:t>
                  </w:r>
                </w:p>
              </w:tc>
              <w:tc>
                <w:tcPr>
                  <w:tcW w:w="866" w:type="dxa"/>
                  <w:vAlign w:val="center"/>
                </w:tcPr>
                <w:p>
                  <w:pPr>
                    <w:jc w:val="center"/>
                    <w:rPr>
                      <w:rFonts w:hint="eastAsia"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404" w:type="dxa"/>
                  <w:vMerge w:val="continue"/>
                  <w:vAlign w:val="center"/>
                </w:tcPr>
                <w:p>
                  <w:pPr>
                    <w:jc w:val="center"/>
                    <w:rPr>
                      <w:rFonts w:hint="eastAsia" w:ascii="宋体" w:hAnsi="宋体" w:eastAsia="宋体" w:cs="宋体"/>
                      <w:bCs/>
                      <w:color w:val="auto"/>
                      <w:sz w:val="18"/>
                      <w:szCs w:val="18"/>
                    </w:rPr>
                  </w:pPr>
                </w:p>
              </w:tc>
              <w:tc>
                <w:tcPr>
                  <w:tcW w:w="674" w:type="dxa"/>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垃圾桶</w:t>
                  </w:r>
                </w:p>
              </w:tc>
              <w:tc>
                <w:tcPr>
                  <w:tcW w:w="5413" w:type="dxa"/>
                  <w:vAlign w:val="center"/>
                </w:tcPr>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若干</w:t>
                  </w:r>
                  <w:r>
                    <w:rPr>
                      <w:rFonts w:hint="eastAsia" w:ascii="宋体" w:hAnsi="宋体" w:eastAsia="宋体" w:cs="宋体"/>
                      <w:bCs/>
                      <w:color w:val="auto"/>
                      <w:sz w:val="18"/>
                      <w:szCs w:val="18"/>
                      <w:lang w:val="en-US" w:eastAsia="zh-CN"/>
                    </w:rPr>
                    <w:t>个</w:t>
                  </w:r>
                  <w:r>
                    <w:rPr>
                      <w:rFonts w:hint="eastAsia" w:ascii="宋体" w:hAnsi="宋体" w:eastAsia="宋体" w:cs="宋体"/>
                      <w:bCs/>
                      <w:color w:val="auto"/>
                      <w:sz w:val="18"/>
                      <w:szCs w:val="18"/>
                    </w:rPr>
                    <w:t>，用于收集本项目</w:t>
                  </w:r>
                  <w:r>
                    <w:rPr>
                      <w:rFonts w:hint="eastAsia" w:ascii="宋体" w:hAnsi="宋体" w:eastAsia="宋体" w:cs="宋体"/>
                      <w:bCs/>
                      <w:color w:val="auto"/>
                      <w:sz w:val="18"/>
                      <w:szCs w:val="18"/>
                      <w:lang w:val="en-US" w:eastAsia="zh-CN"/>
                    </w:rPr>
                    <w:t>医护人员及病患</w:t>
                  </w:r>
                  <w:r>
                    <w:rPr>
                      <w:rFonts w:hint="eastAsia" w:ascii="宋体" w:hAnsi="宋体" w:eastAsia="宋体" w:cs="宋体"/>
                      <w:bCs/>
                      <w:color w:val="auto"/>
                      <w:sz w:val="18"/>
                      <w:szCs w:val="18"/>
                    </w:rPr>
                    <w:t>产生的生活垃圾</w:t>
                  </w:r>
                  <w:r>
                    <w:rPr>
                      <w:rFonts w:hint="eastAsia" w:ascii="宋体" w:hAnsi="宋体" w:cs="宋体"/>
                      <w:bCs/>
                      <w:color w:val="auto"/>
                      <w:sz w:val="18"/>
                      <w:szCs w:val="18"/>
                      <w:lang w:val="en-US" w:eastAsia="zh-CN"/>
                    </w:rPr>
                    <w:t>以及</w:t>
                  </w:r>
                  <w:r>
                    <w:rPr>
                      <w:rFonts w:hint="eastAsia" w:ascii="宋体" w:hAnsi="宋体" w:cs="宋体"/>
                      <w:color w:val="auto"/>
                      <w:sz w:val="18"/>
                      <w:szCs w:val="18"/>
                      <w:lang w:val="en-US" w:eastAsia="zh-CN"/>
                    </w:rPr>
                    <w:t>医疗用品外包装物、中药药渣。</w:t>
                  </w:r>
                </w:p>
              </w:tc>
              <w:tc>
                <w:tcPr>
                  <w:tcW w:w="866" w:type="dxa"/>
                  <w:vAlign w:val="center"/>
                </w:tcPr>
                <w:p>
                  <w:pPr>
                    <w:jc w:val="center"/>
                    <w:rPr>
                      <w:rFonts w:hint="eastAsia" w:ascii="宋体" w:hAnsi="宋体" w:eastAsia="宋体" w:cs="宋体"/>
                      <w:bCs/>
                      <w:color w:val="auto"/>
                      <w:sz w:val="18"/>
                      <w:szCs w:val="18"/>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404" w:type="dxa"/>
                  <w:vMerge w:val="continue"/>
                  <w:vAlign w:val="center"/>
                </w:tcPr>
                <w:p>
                  <w:pPr>
                    <w:jc w:val="center"/>
                    <w:rPr>
                      <w:rFonts w:hint="eastAsia" w:ascii="宋体" w:hAnsi="宋体" w:eastAsia="宋体" w:cs="宋体"/>
                      <w:bCs/>
                      <w:color w:val="auto"/>
                      <w:sz w:val="18"/>
                      <w:szCs w:val="18"/>
                      <w:lang w:val="en-US" w:eastAsia="zh-CN"/>
                    </w:rPr>
                  </w:pPr>
                </w:p>
              </w:tc>
              <w:tc>
                <w:tcPr>
                  <w:tcW w:w="674"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医疗废物</w:t>
                  </w:r>
                  <w:r>
                    <w:rPr>
                      <w:rFonts w:hint="eastAsia" w:ascii="宋体" w:hAnsi="宋体" w:eastAsia="宋体" w:cs="宋体"/>
                      <w:color w:val="auto"/>
                      <w:sz w:val="18"/>
                      <w:szCs w:val="18"/>
                      <w:lang w:val="en-US" w:eastAsia="zh-CN"/>
                    </w:rPr>
                    <w:t>收集桶</w:t>
                  </w:r>
                </w:p>
              </w:tc>
              <w:tc>
                <w:tcPr>
                  <w:tcW w:w="5413" w:type="dxa"/>
                  <w:vAlign w:val="center"/>
                </w:tcPr>
                <w:p>
                  <w:pPr>
                    <w:jc w:val="left"/>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医疗废物</w:t>
                  </w:r>
                  <w:r>
                    <w:rPr>
                      <w:rFonts w:hint="eastAsia" w:ascii="宋体" w:hAnsi="宋体" w:eastAsia="宋体" w:cs="宋体"/>
                      <w:bCs/>
                      <w:color w:val="auto"/>
                      <w:sz w:val="18"/>
                      <w:szCs w:val="18"/>
                      <w:lang w:val="en-US" w:eastAsia="zh-CN"/>
                    </w:rPr>
                    <w:t>暂存间内设置15个带盖</w:t>
                  </w:r>
                  <w:r>
                    <w:rPr>
                      <w:rFonts w:hint="eastAsia" w:ascii="宋体" w:hAnsi="宋体" w:eastAsia="宋体" w:cs="宋体"/>
                      <w:color w:val="auto"/>
                      <w:sz w:val="18"/>
                      <w:szCs w:val="18"/>
                    </w:rPr>
                    <w:t>医疗废物</w:t>
                  </w:r>
                  <w:r>
                    <w:rPr>
                      <w:rFonts w:hint="eastAsia" w:ascii="宋体" w:hAnsi="宋体" w:eastAsia="宋体" w:cs="宋体"/>
                      <w:color w:val="auto"/>
                      <w:sz w:val="18"/>
                      <w:szCs w:val="18"/>
                      <w:lang w:val="en-US" w:eastAsia="zh-CN"/>
                    </w:rPr>
                    <w:t>收集桶</w:t>
                  </w:r>
                  <w:r>
                    <w:rPr>
                      <w:rFonts w:hint="eastAsia" w:ascii="宋体" w:hAnsi="宋体" w:eastAsia="宋体" w:cs="宋体"/>
                      <w:bCs/>
                      <w:color w:val="auto"/>
                      <w:sz w:val="18"/>
                      <w:szCs w:val="18"/>
                      <w:lang w:val="en-US" w:eastAsia="zh-CN"/>
                    </w:rPr>
                    <w:t>，用于收集</w:t>
                  </w:r>
                  <w:r>
                    <w:rPr>
                      <w:rFonts w:hint="eastAsia" w:ascii="宋体" w:hAnsi="宋体" w:eastAsia="宋体" w:cs="宋体"/>
                      <w:color w:val="auto"/>
                      <w:sz w:val="18"/>
                      <w:szCs w:val="18"/>
                    </w:rPr>
                    <w:t>本项目产生的医疗废物</w:t>
                  </w:r>
                  <w:r>
                    <w:rPr>
                      <w:rFonts w:hint="eastAsia" w:ascii="宋体" w:hAnsi="宋体" w:eastAsia="宋体" w:cs="宋体"/>
                      <w:color w:val="auto"/>
                      <w:sz w:val="18"/>
                      <w:szCs w:val="18"/>
                      <w:lang w:eastAsia="zh-CN"/>
                    </w:rPr>
                    <w:t>，</w:t>
                  </w:r>
                  <w:r>
                    <w:rPr>
                      <w:rFonts w:hint="eastAsia" w:ascii="宋体" w:hAnsi="宋体" w:cs="宋体"/>
                      <w:color w:val="auto"/>
                      <w:sz w:val="18"/>
                      <w:szCs w:val="18"/>
                      <w:lang w:val="en-US" w:eastAsia="zh-CN"/>
                    </w:rPr>
                    <w:t>综合楼</w:t>
                  </w:r>
                  <w:r>
                    <w:rPr>
                      <w:rFonts w:hint="eastAsia" w:ascii="宋体" w:hAnsi="宋体" w:eastAsia="宋体" w:cs="宋体"/>
                      <w:color w:val="auto"/>
                      <w:sz w:val="18"/>
                      <w:szCs w:val="18"/>
                      <w:lang w:val="en-US" w:eastAsia="zh-CN"/>
                    </w:rPr>
                    <w:t>每层分别设置若干个</w:t>
                  </w:r>
                  <w:r>
                    <w:rPr>
                      <w:rFonts w:hint="eastAsia" w:ascii="宋体" w:hAnsi="宋体" w:eastAsia="宋体" w:cs="宋体"/>
                      <w:color w:val="auto"/>
                      <w:sz w:val="18"/>
                      <w:szCs w:val="18"/>
                    </w:rPr>
                    <w:t>医疗废物</w:t>
                  </w:r>
                  <w:r>
                    <w:rPr>
                      <w:rFonts w:hint="eastAsia" w:ascii="宋体" w:hAnsi="宋体" w:eastAsia="宋体" w:cs="宋体"/>
                      <w:color w:val="auto"/>
                      <w:sz w:val="18"/>
                      <w:szCs w:val="18"/>
                      <w:lang w:val="en-US" w:eastAsia="zh-CN"/>
                    </w:rPr>
                    <w:t>收集桶</w:t>
                  </w:r>
                </w:p>
              </w:tc>
              <w:tc>
                <w:tcPr>
                  <w:tcW w:w="866" w:type="dxa"/>
                  <w:vAlign w:val="center"/>
                </w:tcPr>
                <w:p>
                  <w:pPr>
                    <w:jc w:val="center"/>
                    <w:rPr>
                      <w:rFonts w:hint="eastAsia" w:ascii="宋体" w:hAnsi="宋体" w:eastAsia="宋体" w:cs="宋体"/>
                      <w:bCs/>
                      <w:color w:val="auto"/>
                      <w:sz w:val="18"/>
                      <w:szCs w:val="18"/>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40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baseline"/>
                    <w:rPr>
                      <w:rFonts w:hint="eastAsia" w:ascii="宋体" w:hAnsi="宋体" w:eastAsia="宋体" w:cs="宋体"/>
                      <w:bCs/>
                      <w:color w:val="auto"/>
                      <w:sz w:val="18"/>
                      <w:szCs w:val="18"/>
                    </w:rPr>
                  </w:pPr>
                </w:p>
              </w:tc>
              <w:tc>
                <w:tcPr>
                  <w:tcW w:w="6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baseline"/>
                    <w:rPr>
                      <w:rFonts w:hint="eastAsia" w:ascii="宋体" w:hAnsi="宋体" w:eastAsia="宋体" w:cs="宋体"/>
                      <w:color w:val="auto"/>
                      <w:sz w:val="18"/>
                      <w:szCs w:val="18"/>
                    </w:rPr>
                  </w:pPr>
                  <w:r>
                    <w:rPr>
                      <w:rFonts w:hint="eastAsia" w:ascii="宋体" w:hAnsi="宋体" w:eastAsia="宋体" w:cs="宋体"/>
                      <w:color w:val="auto"/>
                      <w:sz w:val="18"/>
                      <w:szCs w:val="18"/>
                    </w:rPr>
                    <w:t>医疗废物暂存间</w:t>
                  </w:r>
                </w:p>
              </w:tc>
              <w:tc>
                <w:tcPr>
                  <w:tcW w:w="5413" w:type="dxa"/>
                  <w:vAlign w:val="center"/>
                </w:tcPr>
                <w:p>
                  <w:pPr>
                    <w:keepNext w:val="0"/>
                    <w:keepLines w:val="0"/>
                    <w:pageBreakBefore w:val="0"/>
                    <w:widowControl w:val="0"/>
                    <w:kinsoku/>
                    <w:wordWrap/>
                    <w:overflowPunct/>
                    <w:topLinePunct w:val="0"/>
                    <w:autoSpaceDE/>
                    <w:autoSpaceDN/>
                    <w:bidi w:val="0"/>
                    <w:adjustRightInd/>
                    <w:snapToGrid/>
                    <w:spacing w:line="240" w:lineRule="auto"/>
                    <w:contextualSpacing/>
                    <w:jc w:val="left"/>
                    <w:textAlignment w:val="baseline"/>
                    <w:rPr>
                      <w:rFonts w:hint="default"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位于项目区西南侧独立房间内，</w:t>
                  </w:r>
                  <w:r>
                    <w:rPr>
                      <w:rFonts w:hint="eastAsia" w:ascii="宋体" w:hAnsi="宋体" w:eastAsia="宋体" w:cs="宋体"/>
                      <w:color w:val="auto"/>
                      <w:sz w:val="18"/>
                      <w:szCs w:val="18"/>
                    </w:rPr>
                    <w:t>建筑面积</w:t>
                  </w:r>
                  <w:r>
                    <w:rPr>
                      <w:rFonts w:hint="eastAsia" w:ascii="宋体" w:hAnsi="宋体" w:eastAsia="宋体" w:cs="宋体"/>
                      <w:color w:val="auto"/>
                      <w:sz w:val="18"/>
                      <w:szCs w:val="18"/>
                      <w:lang w:val="en-US" w:eastAsia="zh-CN"/>
                    </w:rPr>
                    <w:t>为20</w:t>
                  </w:r>
                  <w:r>
                    <w:rPr>
                      <w:rFonts w:hint="eastAsia" w:ascii="宋体" w:hAnsi="宋体" w:eastAsia="宋体" w:cs="宋体"/>
                      <w:bCs/>
                      <w:color w:val="auto"/>
                      <w:sz w:val="18"/>
                      <w:szCs w:val="18"/>
                      <w:lang w:val="en-US" w:eastAsia="zh-CN"/>
                    </w:rPr>
                    <w:t>m</w:t>
                  </w:r>
                  <w:r>
                    <w:rPr>
                      <w:rFonts w:hint="eastAsia" w:ascii="宋体" w:hAnsi="宋体" w:eastAsia="宋体" w:cs="宋体"/>
                      <w:bCs/>
                      <w:color w:val="auto"/>
                      <w:sz w:val="18"/>
                      <w:szCs w:val="18"/>
                      <w:vertAlign w:val="superscript"/>
                      <w:lang w:val="en-US" w:eastAsia="zh-CN"/>
                    </w:rPr>
                    <w:t>2</w:t>
                  </w:r>
                  <w:r>
                    <w:rPr>
                      <w:rFonts w:hint="eastAsia" w:ascii="宋体" w:hAnsi="宋体" w:eastAsia="宋体" w:cs="宋体"/>
                      <w:color w:val="auto"/>
                      <w:sz w:val="18"/>
                      <w:szCs w:val="18"/>
                    </w:rPr>
                    <w:t>，用于收集暂存本项目产生的医疗废物，设置封闭</w:t>
                  </w:r>
                  <w:r>
                    <w:rPr>
                      <w:rFonts w:hint="eastAsia" w:ascii="宋体" w:hAnsi="宋体" w:cs="宋体"/>
                      <w:color w:val="auto"/>
                      <w:sz w:val="18"/>
                      <w:szCs w:val="18"/>
                      <w:lang w:eastAsia="zh-CN"/>
                    </w:rPr>
                    <w:t>医疗废物暂存间</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防风、防晒、防雨、防漏、防渗、防腐，并设置警示标识和“禁止吸烟、饮食”的警示标识</w:t>
                  </w:r>
                  <w:r>
                    <w:rPr>
                      <w:rFonts w:hint="eastAsia" w:ascii="宋体" w:hAnsi="宋体" w:eastAsia="宋体" w:cs="宋体"/>
                      <w:color w:val="auto"/>
                      <w:sz w:val="18"/>
                      <w:szCs w:val="18"/>
                      <w:lang w:eastAsia="zh-CN"/>
                    </w:rPr>
                    <w:t>。</w:t>
                  </w:r>
                  <w:r>
                    <w:rPr>
                      <w:rFonts w:hint="eastAsia" w:ascii="宋体" w:hAnsi="宋体" w:cs="宋体"/>
                      <w:color w:val="auto"/>
                      <w:sz w:val="18"/>
                      <w:szCs w:val="18"/>
                      <w:lang w:val="en-US" w:eastAsia="zh-CN"/>
                    </w:rPr>
                    <w:t>采用抗渗混凝土＋防渗涂料施工。</w:t>
                  </w:r>
                  <w:r>
                    <w:rPr>
                      <w:rFonts w:hint="eastAsia" w:ascii="宋体" w:hAnsi="宋体" w:eastAsia="宋体" w:cs="宋体"/>
                      <w:color w:val="auto"/>
                      <w:sz w:val="18"/>
                      <w:szCs w:val="18"/>
                      <w:lang w:val="en-US" w:eastAsia="zh-CN"/>
                    </w:rPr>
                    <w:t>防渗系数达到《危险废物贮存污染控制标准》（GB18597-2023）中的防渗要求。医疗废物委托</w:t>
                  </w:r>
                  <w:r>
                    <w:rPr>
                      <w:rFonts w:hint="eastAsia" w:ascii="宋体" w:hAnsi="宋体" w:cs="宋体"/>
                      <w:color w:val="auto"/>
                      <w:sz w:val="18"/>
                      <w:szCs w:val="18"/>
                      <w:lang w:val="en-US" w:eastAsia="zh-CN"/>
                    </w:rPr>
                    <w:t>有资质单位处置</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天清运一次。</w:t>
                  </w:r>
                </w:p>
              </w:tc>
              <w:tc>
                <w:tcPr>
                  <w:tcW w:w="866" w:type="dxa"/>
                  <w:vAlign w:val="center"/>
                </w:tcPr>
                <w:p>
                  <w:pPr>
                    <w:jc w:val="center"/>
                    <w:rPr>
                      <w:rFonts w:hint="default" w:ascii="宋体" w:hAnsi="宋体" w:eastAsia="宋体" w:cs="宋体"/>
                      <w:bCs/>
                      <w:color w:val="auto"/>
                      <w:sz w:val="18"/>
                      <w:szCs w:val="18"/>
                      <w:lang w:val="en-US"/>
                    </w:rPr>
                  </w:pPr>
                  <w:r>
                    <w:rPr>
                      <w:rFonts w:hint="eastAsia" w:ascii="宋体" w:hAnsi="宋体" w:cs="宋体"/>
                      <w:color w:val="auto"/>
                      <w:sz w:val="18"/>
                      <w:szCs w:val="18"/>
                      <w:lang w:val="en-US" w:eastAsia="zh-CN"/>
                    </w:rPr>
                    <w:t>新建，已建成。本次环评要求</w:t>
                  </w:r>
                  <w:r>
                    <w:rPr>
                      <w:rFonts w:hint="eastAsia" w:ascii="宋体" w:hAnsi="宋体" w:eastAsia="宋体" w:cs="宋体"/>
                      <w:color w:val="auto"/>
                      <w:sz w:val="18"/>
                      <w:szCs w:val="18"/>
                      <w:lang w:val="en-US" w:eastAsia="zh-CN"/>
                    </w:rPr>
                    <w:t>医疗废物暂存不得超过24小时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40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baseline"/>
                    <w:rPr>
                      <w:rFonts w:hint="eastAsia" w:ascii="宋体" w:hAnsi="宋体" w:eastAsia="宋体" w:cs="宋体"/>
                      <w:bCs/>
                      <w:color w:val="auto"/>
                      <w:sz w:val="18"/>
                      <w:szCs w:val="18"/>
                    </w:rPr>
                  </w:pPr>
                </w:p>
              </w:tc>
              <w:tc>
                <w:tcPr>
                  <w:tcW w:w="6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baseline"/>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污水处理站污泥</w:t>
                  </w:r>
                </w:p>
              </w:tc>
              <w:tc>
                <w:tcPr>
                  <w:tcW w:w="5413" w:type="dxa"/>
                  <w:vAlign w:val="center"/>
                </w:tcPr>
                <w:p>
                  <w:pPr>
                    <w:keepNext w:val="0"/>
                    <w:keepLines w:val="0"/>
                    <w:pageBreakBefore w:val="0"/>
                    <w:widowControl w:val="0"/>
                    <w:kinsoku/>
                    <w:wordWrap/>
                    <w:overflowPunct/>
                    <w:topLinePunct w:val="0"/>
                    <w:autoSpaceDE/>
                    <w:autoSpaceDN/>
                    <w:bidi w:val="0"/>
                    <w:adjustRightInd/>
                    <w:snapToGrid/>
                    <w:spacing w:line="240" w:lineRule="auto"/>
                    <w:contextualSpacing/>
                    <w:jc w:val="left"/>
                    <w:textAlignment w:val="baseline"/>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根据《医疗机构水污染物排放标准》（GB18466-2001），栅渣、化粪池和污水处理站污泥属危险废物，应按照危险废物进行处理和处置。一体化污水处理设备建设有一座1m³的污泥池，定期投加石灰对污泥进行消毒。消毒后污泥满足《医疗机构废水污染物排放标准》（GB18466-2005）中对污泥控制标准要求</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委托具有相关处置资质的单位进行处置，并建设相关处置台账和转运联单，严格按照医疗废物进行管理。</w:t>
                  </w:r>
                </w:p>
              </w:tc>
              <w:tc>
                <w:tcPr>
                  <w:tcW w:w="866" w:type="dxa"/>
                  <w:vAlign w:val="center"/>
                </w:tcPr>
                <w:p>
                  <w:pPr>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环评提出</w:t>
                  </w:r>
                  <w:r>
                    <w:rPr>
                      <w:rFonts w:hint="eastAsia" w:ascii="宋体" w:hAnsi="宋体" w:cs="宋体"/>
                      <w:bCs/>
                      <w:color w:val="auto"/>
                      <w:sz w:val="18"/>
                      <w:szCs w:val="18"/>
                      <w:lang w:val="en-US" w:eastAsia="zh-CN"/>
                    </w:rPr>
                    <w:t>污泥委托资质单位处置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40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baseline"/>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噪声控制</w:t>
                  </w:r>
                </w:p>
              </w:tc>
              <w:tc>
                <w:tcPr>
                  <w:tcW w:w="6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both"/>
                    <w:textAlignment w:val="baseline"/>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空</w:t>
                  </w:r>
                  <w:r>
                    <w:rPr>
                      <w:rFonts w:hint="eastAsia" w:ascii="宋体" w:hAnsi="宋体" w:eastAsia="宋体" w:cs="宋体"/>
                      <w:color w:val="auto"/>
                      <w:sz w:val="18"/>
                      <w:szCs w:val="18"/>
                    </w:rPr>
                    <w:t>调、排风扇及风机</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水泵</w:t>
                  </w:r>
                </w:p>
              </w:tc>
              <w:tc>
                <w:tcPr>
                  <w:tcW w:w="54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left"/>
                    <w:textAlignment w:val="baseline"/>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设置加减振基础，</w:t>
                  </w:r>
                  <w:r>
                    <w:rPr>
                      <w:rFonts w:hint="eastAsia" w:ascii="宋体" w:hAnsi="宋体" w:eastAsia="宋体" w:cs="宋体"/>
                      <w:color w:val="auto"/>
                      <w:sz w:val="18"/>
                      <w:szCs w:val="18"/>
                      <w:lang w:val="en-US"/>
                    </w:rPr>
                    <w:t>选用低噪声设备，设备置于封闭的用房内，定期保养维护。</w:t>
                  </w:r>
                </w:p>
              </w:tc>
              <w:tc>
                <w:tcPr>
                  <w:tcW w:w="866" w:type="dxa"/>
                  <w:vAlign w:val="center"/>
                </w:tcPr>
                <w:p>
                  <w:pPr>
                    <w:jc w:val="center"/>
                    <w:rPr>
                      <w:rFonts w:hint="eastAsia" w:ascii="宋体" w:hAnsi="宋体" w:eastAsia="宋体" w:cs="宋体"/>
                      <w:bCs/>
                      <w:color w:val="auto"/>
                      <w:sz w:val="18"/>
                      <w:szCs w:val="18"/>
                      <w:lang w:val="en-US" w:eastAsia="zh-CN"/>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641" w:type="dxa"/>
                  <w:vMerge w:val="continue"/>
                  <w:vAlign w:val="center"/>
                </w:tcPr>
                <w:p>
                  <w:pPr>
                    <w:jc w:val="center"/>
                    <w:rPr>
                      <w:rFonts w:hint="eastAsia" w:ascii="宋体" w:hAnsi="宋体" w:eastAsia="宋体" w:cs="宋体"/>
                      <w:color w:val="auto"/>
                      <w:sz w:val="18"/>
                      <w:szCs w:val="18"/>
                    </w:rPr>
                  </w:pPr>
                </w:p>
              </w:tc>
              <w:tc>
                <w:tcPr>
                  <w:tcW w:w="404" w:type="dxa"/>
                  <w:vMerge w:val="continue"/>
                  <w:vAlign w:val="center"/>
                </w:tcPr>
                <w:p>
                  <w:pPr>
                    <w:jc w:val="center"/>
                    <w:rPr>
                      <w:rFonts w:hint="eastAsia" w:ascii="宋体" w:hAnsi="宋体" w:eastAsia="宋体" w:cs="宋体"/>
                      <w:color w:val="auto"/>
                      <w:sz w:val="18"/>
                      <w:szCs w:val="18"/>
                    </w:rPr>
                  </w:pPr>
                </w:p>
              </w:tc>
              <w:tc>
                <w:tcPr>
                  <w:tcW w:w="6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baseline"/>
                    <w:rPr>
                      <w:rFonts w:hint="eastAsia" w:ascii="宋体" w:hAnsi="宋体" w:eastAsia="宋体" w:cs="宋体"/>
                      <w:color w:val="auto"/>
                      <w:sz w:val="18"/>
                      <w:szCs w:val="18"/>
                    </w:rPr>
                  </w:pPr>
                  <w:r>
                    <w:rPr>
                      <w:rFonts w:hint="eastAsia" w:ascii="宋体" w:hAnsi="宋体" w:eastAsia="宋体" w:cs="宋体"/>
                      <w:color w:val="auto"/>
                      <w:sz w:val="18"/>
                      <w:szCs w:val="18"/>
                    </w:rPr>
                    <w:t>人群活动</w:t>
                  </w:r>
                </w:p>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baseline"/>
                    <w:rPr>
                      <w:rFonts w:hint="eastAsia" w:ascii="宋体" w:hAnsi="宋体" w:eastAsia="宋体" w:cs="宋体"/>
                      <w:color w:val="auto"/>
                      <w:sz w:val="18"/>
                      <w:szCs w:val="18"/>
                    </w:rPr>
                  </w:pPr>
                  <w:r>
                    <w:rPr>
                      <w:rFonts w:hint="eastAsia" w:ascii="宋体" w:hAnsi="宋体" w:eastAsia="宋体" w:cs="宋体"/>
                      <w:color w:val="auto"/>
                      <w:sz w:val="18"/>
                      <w:szCs w:val="18"/>
                    </w:rPr>
                    <w:t>噪声</w:t>
                  </w:r>
                </w:p>
              </w:tc>
              <w:tc>
                <w:tcPr>
                  <w:tcW w:w="54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left"/>
                    <w:textAlignment w:val="baseline"/>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房间墙体隔声，粘贴安静标识</w:t>
                  </w:r>
                </w:p>
              </w:tc>
              <w:tc>
                <w:tcPr>
                  <w:tcW w:w="866"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新建，已建成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baseline"/>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防渗措施</w:t>
                  </w:r>
                </w:p>
              </w:tc>
              <w:tc>
                <w:tcPr>
                  <w:tcW w:w="5413" w:type="dxa"/>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重点防渗区：医疗废物暂存间地面及裙</w:t>
                  </w:r>
                  <w:r>
                    <w:rPr>
                      <w:rFonts w:hint="eastAsia" w:ascii="宋体" w:hAnsi="宋体" w:eastAsia="宋体" w:cs="宋体"/>
                      <w:color w:val="auto"/>
                      <w:sz w:val="18"/>
                      <w:szCs w:val="18"/>
                      <w:lang w:val="en-US" w:eastAsia="zh-CN"/>
                    </w:rPr>
                    <w:t>脚</w:t>
                  </w:r>
                  <w:r>
                    <w:rPr>
                      <w:rFonts w:hint="eastAsia" w:ascii="宋体" w:hAnsi="宋体" w:cs="宋体"/>
                      <w:color w:val="auto"/>
                      <w:sz w:val="18"/>
                      <w:szCs w:val="18"/>
                      <w:lang w:val="en-US" w:eastAsia="zh-CN"/>
                    </w:rPr>
                    <w:t>已</w:t>
                  </w:r>
                  <w:r>
                    <w:rPr>
                      <w:rFonts w:hint="eastAsia" w:ascii="宋体" w:hAnsi="宋体" w:eastAsia="宋体" w:cs="宋体"/>
                      <w:color w:val="auto"/>
                      <w:sz w:val="18"/>
                      <w:szCs w:val="18"/>
                    </w:rPr>
                    <w:t>采用</w:t>
                  </w:r>
                  <w:r>
                    <w:rPr>
                      <w:rFonts w:hint="eastAsia" w:ascii="宋体" w:hAnsi="宋体" w:cs="宋体"/>
                      <w:color w:val="auto"/>
                      <w:sz w:val="18"/>
                      <w:szCs w:val="18"/>
                      <w:lang w:val="en-US" w:eastAsia="zh-CN"/>
                    </w:rPr>
                    <w:t>抗渗混凝土</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防渗涂料</w:t>
                  </w:r>
                  <w:r>
                    <w:rPr>
                      <w:rFonts w:hint="eastAsia" w:ascii="宋体" w:hAnsi="宋体" w:eastAsia="宋体" w:cs="宋体"/>
                      <w:color w:val="auto"/>
                      <w:sz w:val="18"/>
                      <w:szCs w:val="18"/>
                    </w:rPr>
                    <w:t>，渗透系数</w:t>
                  </w:r>
                  <w:r>
                    <w:rPr>
                      <w:rFonts w:hint="eastAsia" w:ascii="宋体" w:hAnsi="宋体" w:cs="宋体"/>
                      <w:color w:val="auto"/>
                      <w:sz w:val="18"/>
                      <w:szCs w:val="18"/>
                      <w:lang w:val="en-US" w:eastAsia="zh-CN"/>
                    </w:rPr>
                    <w:t>达到</w:t>
                  </w:r>
                  <w:r>
                    <w:rPr>
                      <w:rFonts w:hint="eastAsia" w:ascii="宋体" w:hAnsi="宋体" w:eastAsia="宋体" w:cs="宋体"/>
                      <w:color w:val="auto"/>
                      <w:sz w:val="18"/>
                      <w:szCs w:val="18"/>
                    </w:rPr>
                    <w:t>K≤1×10</w:t>
                  </w:r>
                  <w:r>
                    <w:rPr>
                      <w:rFonts w:hint="eastAsia" w:ascii="宋体" w:hAnsi="宋体" w:eastAsia="宋体" w:cs="宋体"/>
                      <w:color w:val="auto"/>
                      <w:sz w:val="18"/>
                      <w:szCs w:val="18"/>
                      <w:vertAlign w:val="superscript"/>
                      <w:lang w:val="en-US" w:eastAsia="zh-CN"/>
                    </w:rPr>
                    <w:t>-</w:t>
                  </w:r>
                  <w:r>
                    <w:rPr>
                      <w:rFonts w:hint="eastAsia" w:ascii="宋体" w:hAnsi="宋体" w:cs="宋体"/>
                      <w:color w:val="auto"/>
                      <w:sz w:val="18"/>
                      <w:szCs w:val="18"/>
                      <w:vertAlign w:val="superscript"/>
                      <w:lang w:val="en-US" w:eastAsia="zh-CN"/>
                    </w:rPr>
                    <w:t>10</w:t>
                  </w:r>
                  <w:r>
                    <w:rPr>
                      <w:rFonts w:hint="eastAsia" w:ascii="宋体" w:hAnsi="宋体" w:eastAsia="宋体" w:cs="宋体"/>
                      <w:color w:val="auto"/>
                      <w:sz w:val="18"/>
                      <w:szCs w:val="18"/>
                    </w:rPr>
                    <w:t>cm/s</w:t>
                  </w:r>
                  <w:r>
                    <w:rPr>
                      <w:rFonts w:hint="eastAsia" w:ascii="宋体" w:hAnsi="宋体" w:eastAsia="宋体" w:cs="宋体"/>
                      <w:color w:val="auto"/>
                      <w:sz w:val="18"/>
                      <w:szCs w:val="18"/>
                      <w:lang w:eastAsia="zh-CN"/>
                    </w:rPr>
                    <w:t>，</w:t>
                  </w:r>
                  <w:r>
                    <w:rPr>
                      <w:rFonts w:hint="eastAsia" w:ascii="宋体" w:hAnsi="宋体" w:cs="宋体"/>
                      <w:color w:val="auto"/>
                      <w:sz w:val="18"/>
                      <w:szCs w:val="18"/>
                      <w:lang w:val="en-US" w:eastAsia="zh-CN"/>
                    </w:rPr>
                    <w:t>满足</w:t>
                  </w:r>
                  <w:r>
                    <w:rPr>
                      <w:rFonts w:hint="eastAsia" w:ascii="宋体" w:hAnsi="宋体" w:eastAsia="宋体" w:cs="宋体"/>
                      <w:color w:val="auto"/>
                      <w:sz w:val="18"/>
                      <w:szCs w:val="18"/>
                      <w:lang w:val="en-US" w:eastAsia="zh-CN"/>
                    </w:rPr>
                    <w:t>《危险废物贮存污染控制标准》（GB18597-2023）中的防渗要求。</w:t>
                  </w:r>
                </w:p>
                <w:p>
                  <w:pPr>
                    <w:keepNext w:val="0"/>
                    <w:keepLines w:val="0"/>
                    <w:pageBreakBefore w:val="0"/>
                    <w:widowControl w:val="0"/>
                    <w:kinsoku/>
                    <w:wordWrap/>
                    <w:overflowPunct/>
                    <w:topLinePunct w:val="0"/>
                    <w:autoSpaceDE/>
                    <w:autoSpaceDN/>
                    <w:bidi w:val="0"/>
                    <w:adjustRightInd/>
                    <w:spacing w:line="240" w:lineRule="auto"/>
                    <w:ind w:firstLine="0"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一般防渗区：污水处理</w:t>
                  </w:r>
                  <w:r>
                    <w:rPr>
                      <w:rFonts w:hint="eastAsia" w:ascii="宋体" w:hAnsi="宋体" w:eastAsia="宋体" w:cs="宋体"/>
                      <w:color w:val="auto"/>
                      <w:sz w:val="18"/>
                      <w:szCs w:val="18"/>
                      <w:lang w:eastAsia="zh-CN"/>
                    </w:rPr>
                    <w:t>设施</w:t>
                  </w:r>
                  <w:r>
                    <w:rPr>
                      <w:rFonts w:hint="eastAsia" w:ascii="宋体" w:hAnsi="宋体" w:eastAsia="宋体" w:cs="宋体"/>
                      <w:color w:val="auto"/>
                      <w:sz w:val="18"/>
                      <w:szCs w:val="18"/>
                    </w:rPr>
                    <w:t>各池体、化粪池四周及池底</w:t>
                  </w:r>
                  <w:r>
                    <w:rPr>
                      <w:rFonts w:hint="eastAsia" w:ascii="宋体" w:hAnsi="宋体" w:cs="宋体"/>
                      <w:color w:val="auto"/>
                      <w:sz w:val="18"/>
                      <w:szCs w:val="18"/>
                    </w:rPr>
                    <w:t>采用</w:t>
                  </w:r>
                  <w:r>
                    <w:rPr>
                      <w:rFonts w:hint="eastAsia" w:ascii="宋体" w:hAnsi="宋体" w:cs="宋体"/>
                      <w:color w:val="auto"/>
                      <w:sz w:val="18"/>
                      <w:szCs w:val="18"/>
                      <w:lang w:val="en-US" w:eastAsia="zh-CN"/>
                    </w:rPr>
                    <w:t>抗</w:t>
                  </w:r>
                  <w:r>
                    <w:rPr>
                      <w:rFonts w:hint="eastAsia" w:ascii="宋体" w:hAnsi="宋体" w:cs="宋体"/>
                      <w:color w:val="auto"/>
                      <w:sz w:val="18"/>
                      <w:szCs w:val="18"/>
                    </w:rPr>
                    <w:t>渗混凝土浇筑，上铺HDPE防渗膜。</w:t>
                  </w:r>
                  <w:r>
                    <w:rPr>
                      <w:rFonts w:hint="eastAsia" w:ascii="宋体" w:hAnsi="宋体" w:eastAsia="宋体" w:cs="宋体"/>
                      <w:color w:val="auto"/>
                      <w:sz w:val="18"/>
                      <w:szCs w:val="18"/>
                    </w:rPr>
                    <w:t>防渗技术要求达到等效黏土防渗层Mb≥1.5m，渗透系数K≤1×10</w:t>
                  </w:r>
                  <w:r>
                    <w:rPr>
                      <w:rFonts w:hint="eastAsia" w:ascii="宋体" w:hAnsi="宋体" w:eastAsia="宋体" w:cs="宋体"/>
                      <w:color w:val="auto"/>
                      <w:sz w:val="18"/>
                      <w:szCs w:val="18"/>
                      <w:vertAlign w:val="superscript"/>
                    </w:rPr>
                    <w:t>-7</w:t>
                  </w:r>
                  <w:r>
                    <w:rPr>
                      <w:rFonts w:hint="eastAsia" w:ascii="宋体" w:hAnsi="宋体" w:eastAsia="宋体" w:cs="宋体"/>
                      <w:color w:val="auto"/>
                      <w:sz w:val="18"/>
                      <w:szCs w:val="18"/>
                    </w:rPr>
                    <w:t>cm/s。</w:t>
                  </w:r>
                </w:p>
                <w:p>
                  <w:pPr>
                    <w:keepNext w:val="0"/>
                    <w:keepLines w:val="0"/>
                    <w:pageBreakBefore w:val="0"/>
                    <w:widowControl w:val="0"/>
                    <w:kinsoku/>
                    <w:wordWrap/>
                    <w:overflowPunct/>
                    <w:topLinePunct w:val="0"/>
                    <w:autoSpaceDE/>
                    <w:autoSpaceDN/>
                    <w:bidi w:val="0"/>
                    <w:adjustRightInd/>
                    <w:snapToGrid/>
                    <w:spacing w:line="240" w:lineRule="auto"/>
                    <w:contextualSpacing/>
                    <w:jc w:val="left"/>
                    <w:textAlignment w:val="baseline"/>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简单防渗区：其他区域采取一般水泥硬化处理。</w:t>
                  </w:r>
                </w:p>
              </w:tc>
              <w:tc>
                <w:tcPr>
                  <w:tcW w:w="866" w:type="dxa"/>
                  <w:vAlign w:val="center"/>
                </w:tcPr>
                <w:p>
                  <w:pPr>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重点及一般防渗为新建，已建成。简单防渗区利用原有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641" w:type="dxa"/>
                  <w:vMerge w:val="continue"/>
                  <w:vAlign w:val="center"/>
                </w:tcPr>
                <w:p>
                  <w:pPr>
                    <w:jc w:val="center"/>
                    <w:rPr>
                      <w:rFonts w:hint="eastAsia" w:ascii="宋体" w:hAnsi="宋体" w:eastAsia="宋体" w:cs="宋体"/>
                      <w:bCs/>
                      <w:color w:val="auto"/>
                      <w:sz w:val="18"/>
                      <w:szCs w:val="18"/>
                    </w:rPr>
                  </w:pPr>
                </w:p>
              </w:tc>
              <w:tc>
                <w:tcPr>
                  <w:tcW w:w="107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baseline"/>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监测设备</w:t>
                  </w:r>
                </w:p>
              </w:tc>
              <w:tc>
                <w:tcPr>
                  <w:tcW w:w="5413" w:type="dxa"/>
                  <w:vAlign w:val="center"/>
                </w:tcPr>
                <w:p>
                  <w:pPr>
                    <w:keepNext w:val="0"/>
                    <w:keepLines w:val="0"/>
                    <w:pageBreakBefore w:val="0"/>
                    <w:widowControl w:val="0"/>
                    <w:kinsoku/>
                    <w:wordWrap/>
                    <w:overflowPunct/>
                    <w:topLinePunct w:val="0"/>
                    <w:autoSpaceDE/>
                    <w:autoSpaceDN/>
                    <w:bidi w:val="0"/>
                    <w:adjustRightInd/>
                    <w:snapToGrid/>
                    <w:spacing w:line="240" w:lineRule="auto"/>
                    <w:contextualSpacing/>
                    <w:jc w:val="left"/>
                    <w:textAlignment w:val="baseline"/>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 xml:space="preserve">在污水处理装置进出水总管均安装自动流量监测仪。 </w:t>
                  </w:r>
                </w:p>
              </w:tc>
              <w:tc>
                <w:tcPr>
                  <w:tcW w:w="866" w:type="dxa"/>
                  <w:vAlign w:val="center"/>
                </w:tcPr>
                <w:p>
                  <w:pPr>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新建，已建成</w:t>
                  </w:r>
                </w:p>
              </w:tc>
            </w:tr>
          </w:tbl>
          <w:p>
            <w:pPr>
              <w:spacing w:line="360" w:lineRule="auto"/>
              <w:ind w:firstLine="0" w:firstLineChars="0"/>
              <w:jc w:val="center"/>
              <w:rPr>
                <w:rFonts w:hint="eastAsia" w:ascii="宋体" w:hAnsi="宋体" w:eastAsia="宋体" w:cs="宋体"/>
                <w:b w:val="0"/>
                <w:bCs w:val="0"/>
                <w:color w:val="auto"/>
                <w:sz w:val="24"/>
                <w:szCs w:val="24"/>
              </w:rPr>
            </w:pPr>
          </w:p>
          <w:p>
            <w:pPr>
              <w:spacing w:line="360" w:lineRule="auto"/>
              <w:ind w:firstLine="0" w:firstLineChars="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表2-2  本项目主要经济技术指标</w:t>
            </w:r>
          </w:p>
          <w:tbl>
            <w:tblPr>
              <w:tblStyle w:val="26"/>
              <w:tblW w:w="79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624"/>
              <w:gridCol w:w="1518"/>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3"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序号</w:t>
                  </w:r>
                </w:p>
              </w:tc>
              <w:tc>
                <w:tcPr>
                  <w:tcW w:w="2624"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项目</w:t>
                  </w:r>
                </w:p>
              </w:tc>
              <w:tc>
                <w:tcPr>
                  <w:tcW w:w="1518"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单位</w:t>
                  </w:r>
                </w:p>
              </w:tc>
              <w:tc>
                <w:tcPr>
                  <w:tcW w:w="2914"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2624"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总占地面积</w:t>
                  </w:r>
                </w:p>
              </w:tc>
              <w:tc>
                <w:tcPr>
                  <w:tcW w:w="1518" w:type="dxa"/>
                  <w:vAlign w:val="center"/>
                </w:tcPr>
                <w:p>
                  <w:pPr>
                    <w:spacing w:line="240" w:lineRule="auto"/>
                    <w:ind w:firstLine="0" w:firstLine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p>
              </w:tc>
              <w:tc>
                <w:tcPr>
                  <w:tcW w:w="2914"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6519.50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2624"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总建筑面积</w:t>
                  </w:r>
                </w:p>
              </w:tc>
              <w:tc>
                <w:tcPr>
                  <w:tcW w:w="1518" w:type="dxa"/>
                  <w:vAlign w:val="center"/>
                </w:tcPr>
                <w:p>
                  <w:pPr>
                    <w:spacing w:line="240" w:lineRule="auto"/>
                    <w:ind w:firstLine="0" w:firstLine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p>
              </w:tc>
              <w:tc>
                <w:tcPr>
                  <w:tcW w:w="2914"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6248.39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2624"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项目总投资</w:t>
                  </w:r>
                </w:p>
              </w:tc>
              <w:tc>
                <w:tcPr>
                  <w:tcW w:w="1518"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万元</w:t>
                  </w:r>
                </w:p>
              </w:tc>
              <w:tc>
                <w:tcPr>
                  <w:tcW w:w="2914"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7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2624"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劳动定员</w:t>
                  </w:r>
                </w:p>
              </w:tc>
              <w:tc>
                <w:tcPr>
                  <w:tcW w:w="1518"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人</w:t>
                  </w:r>
                </w:p>
              </w:tc>
              <w:tc>
                <w:tcPr>
                  <w:tcW w:w="2914"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c>
                <w:tcPr>
                  <w:tcW w:w="2624"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病床数</w:t>
                  </w:r>
                </w:p>
              </w:tc>
              <w:tc>
                <w:tcPr>
                  <w:tcW w:w="1518"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床</w:t>
                  </w:r>
                </w:p>
              </w:tc>
              <w:tc>
                <w:tcPr>
                  <w:tcW w:w="2914"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7</w:t>
                  </w:r>
                </w:p>
              </w:tc>
              <w:tc>
                <w:tcPr>
                  <w:tcW w:w="2624"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全年运作天数</w:t>
                  </w:r>
                </w:p>
              </w:tc>
              <w:tc>
                <w:tcPr>
                  <w:tcW w:w="1518"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天</w:t>
                  </w:r>
                </w:p>
              </w:tc>
              <w:tc>
                <w:tcPr>
                  <w:tcW w:w="2914"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365</w:t>
                  </w:r>
                </w:p>
              </w:tc>
            </w:tr>
          </w:tbl>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2.3 项目主要设备</w:t>
            </w:r>
          </w:p>
          <w:p>
            <w:pPr>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本项目主要医疗设备见表2-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p>
          <w:p>
            <w:pPr>
              <w:spacing w:line="360" w:lineRule="auto"/>
              <w:ind w:firstLine="0" w:firstLineChars="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表2-</w:t>
            </w:r>
            <w:r>
              <w:rPr>
                <w:rFonts w:hint="eastAsia" w:ascii="黑体" w:hAnsi="黑体" w:eastAsia="黑体" w:cs="黑体"/>
                <w:b w:val="0"/>
                <w:bCs w:val="0"/>
                <w:color w:val="auto"/>
                <w:sz w:val="21"/>
                <w:szCs w:val="21"/>
                <w:lang w:val="en-US" w:eastAsia="zh-CN"/>
              </w:rPr>
              <w:t>3</w:t>
            </w:r>
            <w:r>
              <w:rPr>
                <w:rFonts w:hint="eastAsia" w:ascii="黑体" w:hAnsi="黑体" w:eastAsia="黑体" w:cs="黑体"/>
                <w:b w:val="0"/>
                <w:bCs w:val="0"/>
                <w:color w:val="auto"/>
                <w:sz w:val="21"/>
                <w:szCs w:val="21"/>
              </w:rPr>
              <w:t xml:space="preserve">  项目主要设备一览表</w:t>
            </w:r>
          </w:p>
          <w:tbl>
            <w:tblPr>
              <w:tblStyle w:val="26"/>
              <w:tblW w:w="7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319"/>
              <w:gridCol w:w="2912"/>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序号</w:t>
                  </w:r>
                </w:p>
              </w:tc>
              <w:tc>
                <w:tcPr>
                  <w:tcW w:w="1319"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科室</w:t>
                  </w:r>
                </w:p>
              </w:tc>
              <w:tc>
                <w:tcPr>
                  <w:tcW w:w="2912"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设备名称</w:t>
                  </w:r>
                </w:p>
              </w:tc>
              <w:tc>
                <w:tcPr>
                  <w:tcW w:w="2383"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设备数量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检验科</w:t>
                  </w:r>
                </w:p>
              </w:tc>
              <w:tc>
                <w:tcPr>
                  <w:tcW w:w="2912"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尿液化验设备</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检验科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电解质分析仪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检验科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振荡器</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检验科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检验专用纯水机</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检验科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压力蒸汽灭菌器</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基本公卫科</w:t>
                  </w:r>
                </w:p>
              </w:tc>
              <w:tc>
                <w:tcPr>
                  <w:tcW w:w="2912"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除颤监护仪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基本公卫科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便携式肺功能检测仪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基本公卫科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经皮测黄疸仪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基本公卫科</w:t>
                  </w:r>
                </w:p>
              </w:tc>
              <w:tc>
                <w:tcPr>
                  <w:tcW w:w="2912"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体脂秤</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基本公卫科</w:t>
                  </w:r>
                </w:p>
              </w:tc>
              <w:tc>
                <w:tcPr>
                  <w:tcW w:w="2912"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数字式十二道心电图机</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基本公卫科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抢救车</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基本公卫科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海尔电冰箱</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基本公卫科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儿童综合评估仪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临床科</w:t>
                  </w:r>
                </w:p>
              </w:tc>
              <w:tc>
                <w:tcPr>
                  <w:tcW w:w="2912"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血脂检测仪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临床科</w:t>
                  </w:r>
                </w:p>
              </w:tc>
              <w:tc>
                <w:tcPr>
                  <w:tcW w:w="2912"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24小时动态血压计</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临床科</w:t>
                  </w:r>
                </w:p>
              </w:tc>
              <w:tc>
                <w:tcPr>
                  <w:tcW w:w="2912"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24小时动态心电图机</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临床科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热成像测温仪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中傣医科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中药粉碎机</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中傣医科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煎药机</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中傣医科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压力蒸汽灭菌器</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中傣医科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电子针疗仪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中傣医科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电脑中频电疗仪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综合科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GE彩色B超</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临床科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臭氧治疗仪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临床科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电子阴道镜</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临床科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全自动生化分析仪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临床科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换药车</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临床科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迈瑞监护仪</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临床科</w:t>
                  </w:r>
                </w:p>
              </w:tc>
              <w:tc>
                <w:tcPr>
                  <w:tcW w:w="2912"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心电图机</w:t>
                  </w:r>
                </w:p>
              </w:tc>
              <w:tc>
                <w:tcPr>
                  <w:tcW w:w="2383"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医学检验科</w:t>
                  </w:r>
                </w:p>
              </w:tc>
              <w:tc>
                <w:tcPr>
                  <w:tcW w:w="2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医用X射线摄影系统（DR）</w:t>
                  </w:r>
                </w:p>
              </w:tc>
              <w:tc>
                <w:tcPr>
                  <w:tcW w:w="238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18" w:type="dxa"/>
                  <w:vAlign w:val="bottom"/>
                </w:tcPr>
                <w:p>
                  <w:pPr>
                    <w:keepNext w:val="0"/>
                    <w:keepLines w:val="0"/>
                    <w:widowControl/>
                    <w:numPr>
                      <w:ilvl w:val="0"/>
                      <w:numId w:val="3"/>
                    </w:numPr>
                    <w:suppressLineNumbers w:val="0"/>
                    <w:tabs>
                      <w:tab w:val="left" w:pos="0"/>
                    </w:tabs>
                    <w:ind w:left="425" w:leftChars="0" w:hanging="425" w:firstLineChars="0"/>
                    <w:jc w:val="center"/>
                    <w:textAlignment w:val="bottom"/>
                    <w:rPr>
                      <w:rFonts w:hint="eastAsia" w:ascii="宋体" w:hAnsi="宋体" w:eastAsia="宋体" w:cs="宋体"/>
                      <w:i w:val="0"/>
                      <w:iCs w:val="0"/>
                      <w:color w:val="auto"/>
                      <w:kern w:val="0"/>
                      <w:sz w:val="18"/>
                      <w:szCs w:val="18"/>
                      <w:u w:val="none"/>
                      <w:lang w:val="en-US" w:eastAsia="zh-CN" w:bidi="ar"/>
                    </w:rPr>
                  </w:pPr>
                </w:p>
              </w:tc>
              <w:tc>
                <w:tcPr>
                  <w:tcW w:w="1319" w:type="dxa"/>
                  <w:vAlign w:val="bottom"/>
                </w:tcPr>
                <w:p>
                  <w:pPr>
                    <w:keepNext w:val="0"/>
                    <w:keepLines w:val="0"/>
                    <w:widowControl/>
                    <w:suppressLineNumbers w:val="0"/>
                    <w:jc w:val="left"/>
                    <w:textAlignment w:val="bottom"/>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一体化污水处理设施</w:t>
                  </w:r>
                </w:p>
              </w:tc>
              <w:tc>
                <w:tcPr>
                  <w:tcW w:w="2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污水处理工艺：格栅池+调节池+缺氧区+生物膜好氧区+沉淀区+消毒区</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处理能力：10m</w:t>
                  </w:r>
                  <w:r>
                    <w:rPr>
                      <w:rFonts w:hint="eastAsia" w:ascii="宋体" w:hAnsi="宋体" w:eastAsia="宋体" w:cs="宋体"/>
                      <w:i w:val="0"/>
                      <w:iCs w:val="0"/>
                      <w:color w:val="auto"/>
                      <w:kern w:val="0"/>
                      <w:sz w:val="18"/>
                      <w:szCs w:val="18"/>
                      <w:u w:val="none"/>
                      <w:vertAlign w:val="superscript"/>
                      <w:lang w:val="en-US" w:eastAsia="zh-CN" w:bidi="ar"/>
                    </w:rPr>
                    <w:t>3</w:t>
                  </w:r>
                  <w:r>
                    <w:rPr>
                      <w:rFonts w:hint="eastAsia" w:ascii="宋体" w:hAnsi="宋体" w:eastAsia="宋体" w:cs="宋体"/>
                      <w:i w:val="0"/>
                      <w:iCs w:val="0"/>
                      <w:color w:val="auto"/>
                      <w:kern w:val="0"/>
                      <w:sz w:val="18"/>
                      <w:szCs w:val="18"/>
                      <w:u w:val="none"/>
                      <w:lang w:val="en-US" w:eastAsia="zh-CN" w:bidi="ar"/>
                    </w:rPr>
                    <w:t>/d</w:t>
                  </w:r>
                </w:p>
              </w:tc>
              <w:tc>
                <w:tcPr>
                  <w:tcW w:w="2383" w:type="dxa"/>
                  <w:vAlign w:val="center"/>
                </w:tcPr>
                <w:p>
                  <w:pPr>
                    <w:pStyle w:val="46"/>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2"/>
                      <w:sz w:val="18"/>
                      <w:szCs w:val="18"/>
                      <w:lang w:val="en-US" w:eastAsia="zh-CN" w:bidi="ar-SA"/>
                    </w:rPr>
                    <w:t>1套</w:t>
                  </w:r>
                </w:p>
              </w:tc>
            </w:tr>
          </w:tbl>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2.4主要原辅材料消耗情况</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主要原辅材料消耗见表2-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，主要原辅材料理化性质见表 2-</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p>
          <w:p>
            <w:pPr>
              <w:spacing w:line="360" w:lineRule="auto"/>
              <w:ind w:firstLine="562"/>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表2-</w:t>
            </w:r>
            <w:r>
              <w:rPr>
                <w:rFonts w:hint="eastAsia" w:ascii="黑体" w:hAnsi="黑体" w:eastAsia="黑体" w:cs="黑体"/>
                <w:b w:val="0"/>
                <w:bCs w:val="0"/>
                <w:color w:val="auto"/>
                <w:sz w:val="21"/>
                <w:szCs w:val="21"/>
                <w:lang w:val="en-US" w:eastAsia="zh-CN"/>
              </w:rPr>
              <w:t>4</w:t>
            </w:r>
            <w:r>
              <w:rPr>
                <w:rFonts w:hint="eastAsia" w:ascii="黑体" w:hAnsi="黑体" w:eastAsia="黑体" w:cs="黑体"/>
                <w:b w:val="0"/>
                <w:bCs w:val="0"/>
                <w:color w:val="auto"/>
                <w:sz w:val="21"/>
                <w:szCs w:val="21"/>
              </w:rPr>
              <w:t>本项目主要</w:t>
            </w:r>
            <w:r>
              <w:rPr>
                <w:rFonts w:hint="eastAsia" w:ascii="黑体" w:hAnsi="黑体" w:eastAsia="黑体" w:cs="黑体"/>
                <w:b w:val="0"/>
                <w:bCs w:val="0"/>
                <w:color w:val="auto"/>
                <w:sz w:val="21"/>
                <w:szCs w:val="21"/>
                <w:lang w:val="en-US" w:eastAsia="zh-CN"/>
              </w:rPr>
              <w:t>医疗用品及能源</w:t>
            </w:r>
            <w:r>
              <w:rPr>
                <w:rFonts w:hint="eastAsia" w:ascii="黑体" w:hAnsi="黑体" w:eastAsia="黑体" w:cs="黑体"/>
                <w:b w:val="0"/>
                <w:bCs w:val="0"/>
                <w:color w:val="auto"/>
                <w:sz w:val="21"/>
                <w:szCs w:val="21"/>
              </w:rPr>
              <w:t>消耗一览表</w:t>
            </w:r>
          </w:p>
          <w:tbl>
            <w:tblPr>
              <w:tblStyle w:val="26"/>
              <w:tblW w:w="68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7"/>
              <w:gridCol w:w="3924"/>
              <w:gridCol w:w="1261"/>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序号</w:t>
                  </w: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原辅材料名称</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年耗量</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存储量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75%乙醇消毒液 [25L×1桶/桶]</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20桶</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75%乙醇消毒液 [500ml×1瓶/瓶]</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400瓶</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400瓶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75%乙醇消毒液（医用酒精） [100ml×1瓶/瓶]</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200</w:t>
                  </w:r>
                  <w:r>
                    <w:rPr>
                      <w:rFonts w:hint="eastAsia" w:ascii="宋体" w:hAnsi="宋体" w:eastAsia="宋体" w:cs="宋体"/>
                      <w:i w:val="0"/>
                      <w:iCs w:val="0"/>
                      <w:color w:val="auto"/>
                      <w:kern w:val="0"/>
                      <w:sz w:val="18"/>
                      <w:szCs w:val="18"/>
                      <w:u w:val="none"/>
                      <w:lang w:val="en-US" w:eastAsia="zh-CN" w:bidi="ar"/>
                    </w:rPr>
                    <w:t>瓶</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84消毒液 [500g×1瓶/瓶]</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500瓶</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215瓶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出诊箱 [14寸×1个/个]</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2个</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非接触式红外体温计  JXB-178 [1个×1个/个]</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w:t>
                  </w:r>
                  <w:r>
                    <w:rPr>
                      <w:rFonts w:hint="eastAsia" w:ascii="宋体" w:hAnsi="宋体" w:eastAsia="宋体" w:cs="宋体"/>
                      <w:i w:val="0"/>
                      <w:iCs w:val="0"/>
                      <w:color w:val="auto"/>
                      <w:kern w:val="0"/>
                      <w:sz w:val="18"/>
                      <w:szCs w:val="18"/>
                      <w:u w:val="none"/>
                      <w:lang w:val="en-US" w:eastAsia="zh-CN" w:bidi="ar"/>
                    </w:rPr>
                    <w:t>个</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含氯消毒泡腾片 [1片×100片/瓶]</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500瓶</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洁芙柔免洗手消毒凝胶 [236ml×1瓶/瓶]</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1000瓶</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480瓶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血糖试纸 [25T×1份/份]</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100</w:t>
                  </w:r>
                  <w:r>
                    <w:rPr>
                      <w:rFonts w:hint="eastAsia" w:ascii="宋体" w:hAnsi="宋体" w:eastAsia="宋体" w:cs="宋体"/>
                      <w:i w:val="0"/>
                      <w:iCs w:val="0"/>
                      <w:color w:val="auto"/>
                      <w:kern w:val="0"/>
                      <w:sz w:val="18"/>
                      <w:szCs w:val="18"/>
                      <w:u w:val="none"/>
                      <w:lang w:val="en-US" w:eastAsia="zh-CN" w:bidi="ar"/>
                    </w:rPr>
                    <w:t>份</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50</w:t>
                  </w:r>
                  <w:r>
                    <w:rPr>
                      <w:rFonts w:hint="eastAsia" w:ascii="宋体" w:hAnsi="宋体" w:eastAsia="宋体" w:cs="宋体"/>
                      <w:i w:val="0"/>
                      <w:iCs w:val="0"/>
                      <w:color w:val="auto"/>
                      <w:kern w:val="0"/>
                      <w:sz w:val="18"/>
                      <w:szCs w:val="18"/>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血压计 [1台×1台/台]</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5台</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氧气瓶 [40L]</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2个</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氧气瓶 [15L]</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2个</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氧气吸入器（YX-A） [1套×1套/套]</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4套</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一次性使用鼻氧管（双鼻式2米） [1支×1支/支]</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10</w:t>
                  </w:r>
                  <w:r>
                    <w:rPr>
                      <w:rFonts w:hint="eastAsia" w:ascii="宋体" w:hAnsi="宋体" w:cs="宋体"/>
                      <w:i w:val="0"/>
                      <w:iCs w:val="0"/>
                      <w:color w:val="auto"/>
                      <w:kern w:val="0"/>
                      <w:sz w:val="18"/>
                      <w:szCs w:val="18"/>
                      <w:u w:val="none"/>
                      <w:lang w:val="en-US" w:eastAsia="zh-CN" w:bidi="ar"/>
                    </w:rPr>
                    <w:t>0</w:t>
                  </w:r>
                  <w:r>
                    <w:rPr>
                      <w:rFonts w:hint="eastAsia" w:ascii="宋体" w:hAnsi="宋体" w:eastAsia="宋体" w:cs="宋体"/>
                      <w:i w:val="0"/>
                      <w:iCs w:val="0"/>
                      <w:color w:val="auto"/>
                      <w:kern w:val="0"/>
                      <w:sz w:val="18"/>
                      <w:szCs w:val="18"/>
                      <w:u w:val="none"/>
                      <w:lang w:val="en-US" w:eastAsia="zh-CN" w:bidi="ar"/>
                    </w:rPr>
                    <w:t>支</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100</w:t>
                  </w:r>
                  <w:r>
                    <w:rPr>
                      <w:rFonts w:hint="eastAsia" w:ascii="宋体" w:hAnsi="宋体" w:eastAsia="宋体" w:cs="宋体"/>
                      <w:i w:val="0"/>
                      <w:iCs w:val="0"/>
                      <w:color w:val="auto"/>
                      <w:kern w:val="0"/>
                      <w:sz w:val="18"/>
                      <w:szCs w:val="18"/>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一次性使用灭菌橡胶外科手套7# [1双×1双/双]</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5000双</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3200双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一次性使用输液器（5.5#） [1支*25支/包]</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40</w:t>
                  </w:r>
                  <w:r>
                    <w:rPr>
                      <w:rFonts w:hint="eastAsia" w:ascii="宋体" w:hAnsi="宋体" w:eastAsia="宋体" w:cs="宋体"/>
                      <w:i w:val="0"/>
                      <w:iCs w:val="0"/>
                      <w:color w:val="auto"/>
                      <w:kern w:val="0"/>
                      <w:sz w:val="18"/>
                      <w:szCs w:val="18"/>
                      <w:u w:val="none"/>
                      <w:lang w:val="en-US" w:eastAsia="zh-CN" w:bidi="ar"/>
                    </w:rPr>
                    <w:t>包</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一次性使用输液器（7#） [1支*25支/包]</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20包</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一次性使用无菌阴道扩张器（中号） [1个×1个/个]</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200个</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一次性使用无菌针灸针0.25*50mm [1盒×1盒/盒]</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300盒</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一次性使用无菌注射器 [10ml×100支/箱]</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40箱</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一次性使用无菌注射器 [2ml×1支/支]</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200支</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一次性使用无菌自毁型固定型剂量疫苗注射器带针 [0.5000ml:(0.5ml×1支/支）]</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30000支</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18000支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一次性使用雾化器 咬嘴型小号面罩 [1套×90套/套]</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300套</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一次性使用医疗卫生用品（手术衣） [1套×1套/套]</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50套</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一次性无菌末梢采血针28GI型 [50支×1支/盒]</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2000盒</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1000盒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一次性医用灭菌棉签 [30支×20袋/包]</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300包</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145包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医疗废物专用包装袋75*90 [1条×1条/条]</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6000条</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4000条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医用防护口罩  头戴式 [1个×1个/个]</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5000个</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医用外科口罩 [10个×1包/包]</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5000包</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2850包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医用一次性防护服165cm [1套×1套/套]</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500套</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医用一次性防护服170cm [1套×1套/套]</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500套</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370套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血型定型试剂RhD（IgM)</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10</w:t>
                  </w:r>
                  <w:r>
                    <w:rPr>
                      <w:rFonts w:hint="default" w:ascii="宋体" w:hAnsi="宋体" w:eastAsia="宋体" w:cs="宋体"/>
                      <w:i w:val="0"/>
                      <w:iCs w:val="0"/>
                      <w:color w:val="auto"/>
                      <w:kern w:val="0"/>
                      <w:sz w:val="18"/>
                      <w:szCs w:val="18"/>
                      <w:u w:val="none"/>
                      <w:lang w:val="en-US" w:eastAsia="zh-CN" w:bidi="ar"/>
                    </w:rPr>
                    <w:t>盒</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2盒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全量程C反应蛋白</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500</w:t>
                  </w:r>
                  <w:r>
                    <w:rPr>
                      <w:rFonts w:hint="default" w:ascii="宋体" w:hAnsi="宋体" w:eastAsia="宋体" w:cs="宋体"/>
                      <w:i w:val="0"/>
                      <w:iCs w:val="0"/>
                      <w:color w:val="auto"/>
                      <w:kern w:val="0"/>
                      <w:sz w:val="18"/>
                      <w:szCs w:val="18"/>
                      <w:u w:val="none"/>
                      <w:lang w:val="en-US" w:eastAsia="zh-CN" w:bidi="ar"/>
                    </w:rPr>
                    <w:t>人份</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50人份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丙型肝炎病毒抗体（HCV）检测试剂</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200</w:t>
                  </w:r>
                  <w:r>
                    <w:rPr>
                      <w:rFonts w:hint="default" w:ascii="宋体" w:hAnsi="宋体" w:eastAsia="宋体" w:cs="宋体"/>
                      <w:i w:val="0"/>
                      <w:iCs w:val="0"/>
                      <w:color w:val="auto"/>
                      <w:kern w:val="0"/>
                      <w:sz w:val="18"/>
                      <w:szCs w:val="18"/>
                      <w:u w:val="none"/>
                      <w:lang w:val="en-US" w:eastAsia="zh-CN" w:bidi="ar"/>
                    </w:rPr>
                    <w:t>人份</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100人份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尿液分析仪清洗液</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5</w:t>
                  </w:r>
                  <w:r>
                    <w:rPr>
                      <w:rFonts w:hint="default" w:ascii="宋体" w:hAnsi="宋体" w:eastAsia="宋体" w:cs="宋体"/>
                      <w:i w:val="0"/>
                      <w:iCs w:val="0"/>
                      <w:color w:val="auto"/>
                      <w:kern w:val="0"/>
                      <w:sz w:val="18"/>
                      <w:szCs w:val="18"/>
                      <w:u w:val="none"/>
                      <w:lang w:val="en-US" w:eastAsia="zh-CN" w:bidi="ar"/>
                    </w:rPr>
                    <w:t>瓶</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碱性磷酸酶测定试剂盒</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5</w:t>
                  </w:r>
                  <w:r>
                    <w:rPr>
                      <w:rFonts w:hint="default" w:ascii="宋体" w:hAnsi="宋体" w:eastAsia="宋体" w:cs="宋体"/>
                      <w:i w:val="0"/>
                      <w:iCs w:val="0"/>
                      <w:color w:val="auto"/>
                      <w:kern w:val="0"/>
                      <w:sz w:val="18"/>
                      <w:szCs w:val="18"/>
                      <w:u w:val="none"/>
                      <w:lang w:val="en-US" w:eastAsia="zh-CN" w:bidi="ar"/>
                    </w:rPr>
                    <w:t>盒</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尿酸测定试剂盒</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5</w:t>
                  </w:r>
                  <w:r>
                    <w:rPr>
                      <w:rFonts w:hint="default" w:ascii="宋体" w:hAnsi="宋体" w:eastAsia="宋体" w:cs="宋体"/>
                      <w:i w:val="0"/>
                      <w:iCs w:val="0"/>
                      <w:color w:val="auto"/>
                      <w:kern w:val="0"/>
                      <w:sz w:val="18"/>
                      <w:szCs w:val="18"/>
                      <w:u w:val="none"/>
                      <w:lang w:val="en-US" w:eastAsia="zh-CN" w:bidi="ar"/>
                    </w:rPr>
                    <w:t>盒</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总胆红素测定试剂盒</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5</w:t>
                  </w:r>
                  <w:r>
                    <w:rPr>
                      <w:rFonts w:hint="default" w:ascii="宋体" w:hAnsi="宋体" w:eastAsia="宋体" w:cs="宋体"/>
                      <w:i w:val="0"/>
                      <w:iCs w:val="0"/>
                      <w:color w:val="auto"/>
                      <w:kern w:val="0"/>
                      <w:sz w:val="18"/>
                      <w:szCs w:val="18"/>
                      <w:u w:val="none"/>
                      <w:lang w:val="en-US" w:eastAsia="zh-CN" w:bidi="ar"/>
                    </w:rPr>
                    <w:t>盒</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直接胆红素测定试剂盒</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5</w:t>
                  </w:r>
                  <w:r>
                    <w:rPr>
                      <w:rFonts w:hint="default" w:ascii="宋体" w:hAnsi="宋体" w:eastAsia="宋体" w:cs="宋体"/>
                      <w:i w:val="0"/>
                      <w:iCs w:val="0"/>
                      <w:color w:val="auto"/>
                      <w:kern w:val="0"/>
                      <w:sz w:val="18"/>
                      <w:szCs w:val="18"/>
                      <w:u w:val="none"/>
                      <w:lang w:val="en-US" w:eastAsia="zh-CN" w:bidi="ar"/>
                    </w:rPr>
                    <w:t>盒</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γ-谷氨酰基转移酶测定试剂盒</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5</w:t>
                  </w:r>
                  <w:r>
                    <w:rPr>
                      <w:rFonts w:hint="default" w:ascii="宋体" w:hAnsi="宋体" w:eastAsia="宋体" w:cs="宋体"/>
                      <w:i w:val="0"/>
                      <w:iCs w:val="0"/>
                      <w:color w:val="auto"/>
                      <w:kern w:val="0"/>
                      <w:sz w:val="18"/>
                      <w:szCs w:val="18"/>
                      <w:u w:val="none"/>
                      <w:lang w:val="en-US" w:eastAsia="zh-CN" w:bidi="ar"/>
                    </w:rPr>
                    <w:t>盒</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1盒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水</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3179.15</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547"/>
                    </w:tabs>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65451</w:t>
                  </w:r>
                  <w:r>
                    <w:rPr>
                      <w:rFonts w:hint="eastAsia" w:ascii="宋体" w:hAnsi="宋体" w:eastAsia="宋体" w:cs="宋体"/>
                      <w:color w:val="auto"/>
                      <w:sz w:val="18"/>
                      <w:szCs w:val="18"/>
                    </w:rPr>
                    <w:t>Kw·h</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547"/>
                    </w:tabs>
                    <w:ind w:firstLine="360" w:firstLineChars="200"/>
                    <w:jc w:val="both"/>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ind w:left="425" w:leftChars="0" w:hanging="425" w:firstLineChars="0"/>
                    <w:jc w:val="center"/>
                    <w:textAlignment w:val="center"/>
                    <w:rPr>
                      <w:rFonts w:hint="eastAsia" w:ascii="宋体" w:hAnsi="宋体" w:eastAsia="宋体" w:cs="宋体"/>
                      <w:i w:val="0"/>
                      <w:iCs w:val="0"/>
                      <w:color w:val="auto"/>
                      <w:kern w:val="0"/>
                      <w:sz w:val="18"/>
                      <w:szCs w:val="18"/>
                      <w:u w:val="none"/>
                      <w:lang w:val="en-US" w:eastAsia="zh-CN" w:bidi="ar"/>
                    </w:rPr>
                  </w:pPr>
                </w:p>
              </w:tc>
              <w:tc>
                <w:tcPr>
                  <w:tcW w:w="3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柴油</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547"/>
                    </w:tabs>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200L</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547"/>
                    </w:tabs>
                    <w:ind w:firstLine="360" w:firstLineChars="200"/>
                    <w:jc w:val="both"/>
                    <w:textAlignment w:val="center"/>
                    <w:rPr>
                      <w:rFonts w:hint="eastAsia" w:ascii="宋体" w:hAnsi="宋体" w:eastAsia="宋体" w:cs="宋体"/>
                      <w:i w:val="0"/>
                      <w:iCs w:val="0"/>
                      <w:color w:val="auto"/>
                      <w:kern w:val="0"/>
                      <w:sz w:val="18"/>
                      <w:szCs w:val="18"/>
                      <w:u w:val="none"/>
                      <w:lang w:val="en-US" w:eastAsia="zh-CN" w:bidi="ar"/>
                    </w:rPr>
                  </w:pPr>
                </w:p>
              </w:tc>
            </w:tr>
          </w:tbl>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2.2.</w:t>
            </w: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职工定员与工作制度</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勐海县勐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镇卫生院现有职工</w:t>
            </w:r>
            <w:r>
              <w:rPr>
                <w:rFonts w:hint="eastAsia" w:ascii="宋体" w:hAnsi="宋体" w:eastAsia="宋体" w:cs="宋体"/>
                <w:color w:val="auto"/>
                <w:sz w:val="24"/>
                <w:szCs w:val="24"/>
                <w:lang w:val="en-US" w:eastAsia="zh-CN"/>
              </w:rPr>
              <w:t>64</w:t>
            </w:r>
            <w:r>
              <w:rPr>
                <w:rFonts w:hint="eastAsia" w:ascii="宋体" w:hAnsi="宋体" w:eastAsia="宋体" w:cs="宋体"/>
                <w:color w:val="auto"/>
                <w:sz w:val="24"/>
                <w:szCs w:val="24"/>
              </w:rPr>
              <w:t>人，其中包括医护人员及行政人员。医护人员年工作日365天，</w:t>
            </w:r>
            <w:r>
              <w:rPr>
                <w:rFonts w:hint="eastAsia" w:ascii="宋体" w:hAnsi="宋体" w:eastAsia="宋体" w:cs="宋体"/>
                <w:color w:val="auto"/>
                <w:sz w:val="24"/>
                <w:szCs w:val="24"/>
                <w:lang w:val="en-US" w:eastAsia="zh-CN"/>
              </w:rPr>
              <w:t>医护人员分三个班，</w:t>
            </w:r>
            <w:r>
              <w:rPr>
                <w:rFonts w:hint="eastAsia" w:ascii="宋体" w:hAnsi="宋体" w:eastAsia="宋体" w:cs="宋体"/>
                <w:color w:val="auto"/>
                <w:sz w:val="24"/>
                <w:szCs w:val="24"/>
              </w:rPr>
              <w:t>实行</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小时</w:t>
            </w:r>
            <w:r>
              <w:rPr>
                <w:rFonts w:hint="eastAsia" w:ascii="宋体" w:hAnsi="宋体" w:eastAsia="宋体" w:cs="宋体"/>
                <w:color w:val="auto"/>
                <w:sz w:val="24"/>
                <w:szCs w:val="24"/>
              </w:rPr>
              <w:t>工作制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行政人员</w:t>
            </w:r>
            <w:r>
              <w:rPr>
                <w:rFonts w:hint="eastAsia" w:ascii="宋体" w:hAnsi="宋体" w:eastAsia="宋体" w:cs="宋体"/>
                <w:color w:val="auto"/>
                <w:sz w:val="24"/>
                <w:szCs w:val="24"/>
                <w:lang w:val="en-US" w:eastAsia="zh-CN"/>
              </w:rPr>
              <w:t xml:space="preserve">实行8小时工作制。 </w:t>
            </w:r>
          </w:p>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2.2.</w:t>
            </w:r>
            <w:r>
              <w:rPr>
                <w:rFonts w:hint="eastAsia" w:ascii="宋体" w:hAnsi="宋体" w:eastAsia="宋体" w:cs="宋体"/>
                <w:b/>
                <w:bCs/>
                <w:color w:val="auto"/>
                <w:sz w:val="24"/>
                <w:szCs w:val="24"/>
              </w:rPr>
              <w:t>7</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项目总平面布置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卫生院采用集中式的总体布局形式，布局紧凑、高效、节能、经济。现代医疗服务模式，主张方便病人、提高效率、资源共享，在总体布局中减少相关功能科室部门之间的距离，减少病人和医护人员的行走路线，缩短院区工程管线，降低造价，节约能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污水处理</w:t>
            </w:r>
            <w:r>
              <w:rPr>
                <w:rFonts w:hint="eastAsia" w:ascii="宋体" w:hAnsi="宋体" w:eastAsia="宋体" w:cs="宋体"/>
                <w:color w:val="auto"/>
                <w:sz w:val="24"/>
                <w:szCs w:val="24"/>
                <w:lang w:eastAsia="zh-CN"/>
              </w:rPr>
              <w:t>设施、</w:t>
            </w:r>
            <w:r>
              <w:rPr>
                <w:rFonts w:hint="eastAsia" w:ascii="宋体" w:hAnsi="宋体" w:cs="宋体"/>
                <w:color w:val="auto"/>
                <w:sz w:val="24"/>
                <w:szCs w:val="24"/>
                <w:lang w:eastAsia="zh-CN"/>
              </w:rPr>
              <w:t>医疗废物暂存间</w:t>
            </w:r>
            <w:r>
              <w:rPr>
                <w:rFonts w:hint="eastAsia" w:ascii="宋体" w:hAnsi="宋体" w:eastAsia="宋体" w:cs="宋体"/>
                <w:color w:val="auto"/>
                <w:sz w:val="24"/>
                <w:szCs w:val="24"/>
              </w:rPr>
              <w:t>位于医院</w:t>
            </w:r>
            <w:r>
              <w:rPr>
                <w:rFonts w:hint="eastAsia" w:ascii="宋体" w:hAnsi="宋体" w:eastAsia="宋体" w:cs="宋体"/>
                <w:color w:val="auto"/>
                <w:sz w:val="24"/>
                <w:szCs w:val="24"/>
                <w:lang w:val="en-US" w:eastAsia="zh-CN"/>
              </w:rPr>
              <w:t>医技大楼西侧</w:t>
            </w:r>
            <w:r>
              <w:rPr>
                <w:rFonts w:hint="eastAsia" w:ascii="宋体" w:hAnsi="宋体" w:eastAsia="宋体" w:cs="宋体"/>
                <w:color w:val="auto"/>
                <w:sz w:val="24"/>
                <w:szCs w:val="24"/>
              </w:rPr>
              <w:t>，</w:t>
            </w:r>
            <w:r>
              <w:rPr>
                <w:rFonts w:hint="eastAsia" w:ascii="宋体" w:hAnsi="宋体" w:cs="宋体"/>
                <w:color w:val="auto"/>
                <w:sz w:val="24"/>
                <w:szCs w:val="24"/>
                <w:lang w:eastAsia="zh-CN"/>
              </w:rPr>
              <w:t>医疗废物暂存间</w:t>
            </w:r>
            <w:r>
              <w:rPr>
                <w:rFonts w:hint="eastAsia" w:ascii="宋体" w:hAnsi="宋体" w:eastAsia="宋体" w:cs="宋体"/>
                <w:color w:val="auto"/>
                <w:sz w:val="24"/>
                <w:szCs w:val="24"/>
              </w:rPr>
              <w:t>的设置充分考虑了医疗废物堆放间周围布置规范，符合远离医疗区、人员活动区的要求，并保证了进出医疗废物运输车辆的进出方便，符合《医疗废物集中处置技术规范》。</w:t>
            </w:r>
          </w:p>
          <w:p>
            <w:pPr>
              <w:autoSpaceDE w:val="0"/>
              <w:autoSpaceDN w:val="0"/>
              <w:spacing w:line="360" w:lineRule="auto"/>
              <w:ind w:firstLine="540"/>
              <w:rPr>
                <w:rFonts w:hint="eastAsia" w:ascii="宋体" w:hAnsi="宋体" w:eastAsia="宋体" w:cs="宋体"/>
                <w:color w:val="auto"/>
                <w:sz w:val="24"/>
                <w:szCs w:val="24"/>
              </w:rPr>
            </w:pPr>
            <w:r>
              <w:rPr>
                <w:rFonts w:hint="eastAsia" w:ascii="宋体" w:hAnsi="宋体" w:eastAsia="宋体" w:cs="宋体"/>
                <w:color w:val="auto"/>
                <w:sz w:val="24"/>
                <w:szCs w:val="24"/>
              </w:rPr>
              <w:t>综上所述，从环保角度看，</w:t>
            </w:r>
            <w:r>
              <w:rPr>
                <w:rFonts w:hint="eastAsia" w:ascii="宋体" w:hAnsi="宋体" w:eastAsia="宋体" w:cs="宋体"/>
                <w:color w:val="auto"/>
                <w:sz w:val="24"/>
                <w:szCs w:val="24"/>
                <w:lang w:val="en-US" w:eastAsia="zh-CN"/>
              </w:rPr>
              <w:t>本项目</w:t>
            </w:r>
            <w:r>
              <w:rPr>
                <w:rFonts w:hint="eastAsia" w:ascii="宋体" w:hAnsi="宋体" w:eastAsia="宋体" w:cs="宋体"/>
                <w:color w:val="auto"/>
                <w:sz w:val="24"/>
                <w:szCs w:val="24"/>
              </w:rPr>
              <w:t>医院的总图布置基本合理。</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该医院总平面布置图见附图</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p>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2.2.</w:t>
            </w:r>
            <w:r>
              <w:rPr>
                <w:rFonts w:hint="eastAsia" w:ascii="宋体" w:hAnsi="宋体" w:eastAsia="宋体" w:cs="宋体"/>
                <w:b/>
                <w:bCs/>
                <w:color w:val="auto"/>
                <w:sz w:val="24"/>
                <w:szCs w:val="24"/>
              </w:rPr>
              <w:t>8环保投资</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本项目总投资</w:t>
            </w:r>
            <w:r>
              <w:rPr>
                <w:rFonts w:hint="eastAsia" w:ascii="宋体" w:hAnsi="宋体" w:eastAsia="宋体" w:cs="宋体"/>
                <w:color w:val="auto"/>
                <w:sz w:val="24"/>
                <w:szCs w:val="24"/>
                <w:lang w:val="en-US" w:eastAsia="zh-CN"/>
              </w:rPr>
              <w:t>200</w:t>
            </w:r>
            <w:r>
              <w:rPr>
                <w:rFonts w:hint="eastAsia" w:ascii="宋体" w:hAnsi="宋体" w:eastAsia="宋体" w:cs="宋体"/>
                <w:color w:val="auto"/>
                <w:sz w:val="24"/>
                <w:szCs w:val="24"/>
              </w:rPr>
              <w:t>万元，其中环保投资</w:t>
            </w:r>
            <w:r>
              <w:rPr>
                <w:rFonts w:hint="eastAsia" w:ascii="宋体" w:hAnsi="宋体" w:eastAsia="宋体" w:cs="宋体"/>
                <w:color w:val="auto"/>
                <w:sz w:val="24"/>
                <w:szCs w:val="24"/>
                <w:lang w:val="en-US" w:eastAsia="zh-CN"/>
              </w:rPr>
              <w:t>35.51</w:t>
            </w:r>
            <w:r>
              <w:rPr>
                <w:rFonts w:hint="eastAsia" w:ascii="宋体" w:hAnsi="宋体" w:eastAsia="宋体" w:cs="宋体"/>
                <w:color w:val="auto"/>
                <w:sz w:val="24"/>
                <w:szCs w:val="24"/>
              </w:rPr>
              <w:t>万元，环保投资占总投资的</w:t>
            </w:r>
            <w:r>
              <w:rPr>
                <w:rFonts w:hint="eastAsia" w:ascii="宋体" w:hAnsi="宋体" w:eastAsia="宋体" w:cs="宋体"/>
                <w:color w:val="auto"/>
                <w:sz w:val="24"/>
                <w:szCs w:val="24"/>
                <w:lang w:val="en-US" w:eastAsia="zh-CN"/>
              </w:rPr>
              <w:t>17.76%</w:t>
            </w:r>
            <w:r>
              <w:rPr>
                <w:rFonts w:hint="eastAsia" w:ascii="宋体" w:hAnsi="宋体" w:eastAsia="宋体" w:cs="宋体"/>
                <w:color w:val="auto"/>
                <w:sz w:val="24"/>
                <w:szCs w:val="24"/>
              </w:rPr>
              <w:t>，本项目环保投资估算表见表2-</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p>
          <w:p>
            <w:pPr>
              <w:spacing w:line="360" w:lineRule="auto"/>
              <w:ind w:firstLine="0" w:firstLineChars="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表2-</w:t>
            </w:r>
            <w:r>
              <w:rPr>
                <w:rFonts w:hint="eastAsia" w:ascii="黑体" w:hAnsi="黑体" w:eastAsia="黑体" w:cs="黑体"/>
                <w:b w:val="0"/>
                <w:bCs w:val="0"/>
                <w:color w:val="auto"/>
                <w:sz w:val="21"/>
                <w:szCs w:val="21"/>
                <w:lang w:val="en-US" w:eastAsia="zh-CN"/>
              </w:rPr>
              <w:t>5</w:t>
            </w:r>
            <w:r>
              <w:rPr>
                <w:rFonts w:hint="eastAsia" w:ascii="黑体" w:hAnsi="黑体" w:eastAsia="黑体" w:cs="黑体"/>
                <w:b w:val="0"/>
                <w:bCs w:val="0"/>
                <w:color w:val="auto"/>
                <w:sz w:val="21"/>
                <w:szCs w:val="21"/>
              </w:rPr>
              <w:t xml:space="preserve">  本项目环保投资估算表</w:t>
            </w:r>
          </w:p>
          <w:tbl>
            <w:tblPr>
              <w:tblStyle w:val="26"/>
              <w:tblW w:w="7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
              <w:gridCol w:w="475"/>
              <w:gridCol w:w="1480"/>
              <w:gridCol w:w="851"/>
              <w:gridCol w:w="1603"/>
              <w:gridCol w:w="972"/>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阶段</w:t>
                  </w:r>
                </w:p>
              </w:tc>
              <w:tc>
                <w:tcPr>
                  <w:tcW w:w="1955" w:type="dxa"/>
                  <w:gridSpan w:val="2"/>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环保设施</w:t>
                  </w:r>
                </w:p>
              </w:tc>
              <w:tc>
                <w:tcPr>
                  <w:tcW w:w="851" w:type="dxa"/>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 xml:space="preserve"> 数量</w:t>
                  </w:r>
                </w:p>
              </w:tc>
              <w:tc>
                <w:tcPr>
                  <w:tcW w:w="1603" w:type="dxa"/>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规模</w:t>
                  </w:r>
                </w:p>
              </w:tc>
              <w:tc>
                <w:tcPr>
                  <w:tcW w:w="972" w:type="dxa"/>
                  <w:tcBorders>
                    <w:lef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金额（万元）</w:t>
                  </w:r>
                </w:p>
              </w:tc>
              <w:tc>
                <w:tcPr>
                  <w:tcW w:w="2073" w:type="dxa"/>
                  <w:tcBorders>
                    <w:lef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restart"/>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bCs/>
                      <w:color w:val="auto"/>
                      <w:kern w:val="0"/>
                      <w:sz w:val="18"/>
                      <w:szCs w:val="18"/>
                      <w:lang w:eastAsia="zh-CN"/>
                    </w:rPr>
                  </w:pPr>
                  <w:r>
                    <w:rPr>
                      <w:rFonts w:hint="eastAsia" w:ascii="宋体" w:hAnsi="宋体" w:eastAsia="宋体" w:cs="宋体"/>
                      <w:bCs/>
                      <w:color w:val="auto"/>
                      <w:kern w:val="0"/>
                      <w:sz w:val="18"/>
                      <w:szCs w:val="18"/>
                      <w:lang w:eastAsia="zh-CN"/>
                    </w:rPr>
                    <w:t>运营期</w:t>
                  </w:r>
                </w:p>
              </w:tc>
              <w:tc>
                <w:tcPr>
                  <w:tcW w:w="475"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废气</w:t>
                  </w:r>
                </w:p>
              </w:tc>
              <w:tc>
                <w:tcPr>
                  <w:tcW w:w="1480" w:type="dxa"/>
                  <w:tcBorders>
                    <w:left w:val="single" w:color="auto" w:sz="4" w:space="0"/>
                    <w:right w:val="single" w:color="auto" w:sz="4" w:space="0"/>
                  </w:tcBorders>
                  <w:vAlign w:val="center"/>
                </w:tcPr>
                <w:p>
                  <w:pPr>
                    <w:keepNext w:val="0"/>
                    <w:keepLines w:val="0"/>
                    <w:pageBreakBefore w:val="0"/>
                    <w:widowControl w:val="0"/>
                    <w:tabs>
                      <w:tab w:val="left" w:pos="475"/>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污水处理设施异味处理措施</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1套</w:t>
                  </w:r>
                </w:p>
              </w:tc>
              <w:tc>
                <w:tcPr>
                  <w:tcW w:w="1603" w:type="dxa"/>
                  <w:tcBorders>
                    <w:left w:val="single" w:color="auto" w:sz="4" w:space="0"/>
                    <w:right w:val="single" w:color="auto" w:sz="4" w:space="0"/>
                  </w:tcBorders>
                  <w:vAlign w:val="center"/>
                </w:tcPr>
                <w:p>
                  <w:pPr>
                    <w:keepNext w:val="0"/>
                    <w:keepLines w:val="0"/>
                    <w:pageBreakBefore w:val="0"/>
                    <w:widowControl w:val="0"/>
                    <w:tabs>
                      <w:tab w:val="left" w:pos="306"/>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kern w:val="0"/>
                      <w:sz w:val="18"/>
                      <w:szCs w:val="18"/>
                      <w:lang w:val="en-US" w:eastAsia="zh-CN"/>
                    </w:rPr>
                  </w:pPr>
                  <w:r>
                    <w:rPr>
                      <w:rFonts w:hint="eastAsia" w:ascii="宋体" w:hAnsi="宋体" w:eastAsia="宋体" w:cs="宋体"/>
                      <w:color w:val="auto"/>
                      <w:sz w:val="18"/>
                      <w:szCs w:val="18"/>
                      <w:lang w:val="en-US" w:eastAsia="zh-CN"/>
                    </w:rPr>
                    <w:t>已建成，污水处理设施为地埋式、各池体均密闭加盖，并定期投加除臭剂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bCs/>
                      <w:color w:val="auto"/>
                      <w:kern w:val="0"/>
                      <w:sz w:val="18"/>
                      <w:szCs w:val="18"/>
                      <w:lang w:eastAsia="zh-CN"/>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p>
              </w:tc>
              <w:tc>
                <w:tcPr>
                  <w:tcW w:w="1480" w:type="dxa"/>
                  <w:tcBorders>
                    <w:left w:val="single" w:color="auto" w:sz="4" w:space="0"/>
                    <w:right w:val="single" w:color="auto" w:sz="4" w:space="0"/>
                  </w:tcBorders>
                  <w:vAlign w:val="center"/>
                </w:tcPr>
                <w:p>
                  <w:pPr>
                    <w:keepNext w:val="0"/>
                    <w:keepLines w:val="0"/>
                    <w:pageBreakBefore w:val="0"/>
                    <w:widowControl w:val="0"/>
                    <w:tabs>
                      <w:tab w:val="left" w:pos="475"/>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医疗废物暂存间异味处理措施</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1套</w:t>
                  </w:r>
                </w:p>
              </w:tc>
              <w:tc>
                <w:tcPr>
                  <w:tcW w:w="1603" w:type="dxa"/>
                  <w:tcBorders>
                    <w:left w:val="single" w:color="auto" w:sz="4" w:space="0"/>
                    <w:right w:val="single" w:color="auto" w:sz="4" w:space="0"/>
                  </w:tcBorders>
                  <w:vAlign w:val="center"/>
                </w:tcPr>
                <w:p>
                  <w:pPr>
                    <w:keepNext w:val="0"/>
                    <w:keepLines w:val="0"/>
                    <w:pageBreakBefore w:val="0"/>
                    <w:widowControl w:val="0"/>
                    <w:tabs>
                      <w:tab w:val="left" w:pos="306"/>
                    </w:tabs>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kern w:val="0"/>
                      <w:sz w:val="18"/>
                      <w:szCs w:val="18"/>
                      <w:lang w:val="en-US" w:eastAsia="zh-CN"/>
                    </w:rPr>
                  </w:pPr>
                  <w:r>
                    <w:rPr>
                      <w:rFonts w:hint="eastAsia" w:ascii="宋体" w:hAnsi="宋体" w:eastAsia="宋体" w:cs="宋体"/>
                      <w:color w:val="auto"/>
                      <w:sz w:val="18"/>
                      <w:szCs w:val="18"/>
                      <w:lang w:val="en-US" w:eastAsia="zh-CN"/>
                    </w:rPr>
                    <w:t>定期消毒杀菌，加强通风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bCs/>
                      <w:color w:val="auto"/>
                      <w:kern w:val="0"/>
                      <w:sz w:val="18"/>
                      <w:szCs w:val="18"/>
                    </w:rPr>
                  </w:pPr>
                </w:p>
              </w:tc>
              <w:tc>
                <w:tcPr>
                  <w:tcW w:w="475"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废水</w:t>
                  </w: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化粪池</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个</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容积</w:t>
                  </w:r>
                  <w:r>
                    <w:rPr>
                      <w:rFonts w:hint="eastAsia" w:ascii="宋体" w:hAnsi="宋体" w:eastAsia="宋体" w:cs="宋体"/>
                      <w:color w:val="auto"/>
                      <w:sz w:val="18"/>
                      <w:szCs w:val="18"/>
                      <w:lang w:eastAsia="zh-CN"/>
                    </w:rPr>
                    <w:t>各</w:t>
                  </w:r>
                  <w:r>
                    <w:rPr>
                      <w:rFonts w:hint="eastAsia" w:ascii="宋体" w:hAnsi="宋体" w:eastAsia="宋体" w:cs="宋体"/>
                      <w:color w:val="auto"/>
                      <w:sz w:val="18"/>
                      <w:szCs w:val="18"/>
                      <w:lang w:val="en-US" w:eastAsia="zh-CN"/>
                    </w:rPr>
                    <w:t>为30</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4</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bCs/>
                      <w:color w:val="auto"/>
                      <w:kern w:val="0"/>
                      <w:sz w:val="18"/>
                      <w:szCs w:val="18"/>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污水处理</w:t>
                  </w:r>
                  <w:r>
                    <w:rPr>
                      <w:rFonts w:hint="eastAsia" w:ascii="宋体" w:hAnsi="宋体" w:eastAsia="宋体" w:cs="宋体"/>
                      <w:color w:val="auto"/>
                      <w:sz w:val="18"/>
                      <w:szCs w:val="18"/>
                      <w:lang w:eastAsia="zh-CN"/>
                    </w:rPr>
                    <w:t>设施</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1座</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处理量</w:t>
                  </w:r>
                  <w:r>
                    <w:rPr>
                      <w:rFonts w:hint="eastAsia" w:ascii="宋体" w:hAnsi="宋体" w:eastAsia="宋体" w:cs="宋体"/>
                      <w:color w:val="auto"/>
                      <w:sz w:val="18"/>
                      <w:szCs w:val="18"/>
                      <w:lang w:val="en-US" w:eastAsia="zh-CN"/>
                    </w:rPr>
                    <w:t>为10</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/d</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bCs/>
                      <w:color w:val="auto"/>
                      <w:kern w:val="0"/>
                      <w:sz w:val="18"/>
                      <w:szCs w:val="18"/>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检验室废水预处理桶</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1个</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0.1m³</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kern w:val="0"/>
                      <w:sz w:val="18"/>
                      <w:szCs w:val="18"/>
                      <w:lang w:val="en-US" w:eastAsia="zh-CN"/>
                    </w:rPr>
                  </w:pPr>
                  <w:r>
                    <w:rPr>
                      <w:rFonts w:hint="eastAsia" w:ascii="宋体" w:hAnsi="宋体" w:eastAsia="宋体" w:cs="宋体"/>
                      <w:bCs/>
                      <w:color w:val="auto"/>
                      <w:kern w:val="0"/>
                      <w:sz w:val="18"/>
                      <w:szCs w:val="18"/>
                      <w:lang w:val="en-US" w:eastAsia="zh-CN"/>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事故池</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1座</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3m³</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kern w:val="0"/>
                      <w:sz w:val="18"/>
                      <w:szCs w:val="18"/>
                      <w:lang w:val="en-US" w:eastAsia="zh-CN"/>
                    </w:rPr>
                  </w:pPr>
                  <w:r>
                    <w:rPr>
                      <w:rFonts w:hint="eastAsia" w:ascii="宋体" w:hAnsi="宋体" w:eastAsia="宋体" w:cs="宋体"/>
                      <w:bCs/>
                      <w:color w:val="auto"/>
                      <w:kern w:val="0"/>
                      <w:sz w:val="18"/>
                      <w:szCs w:val="18"/>
                      <w:lang w:val="en-US" w:eastAsia="zh-CN"/>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雨污分流</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bCs/>
                      <w:color w:val="auto"/>
                      <w:kern w:val="0"/>
                      <w:sz w:val="18"/>
                      <w:szCs w:val="18"/>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固废</w:t>
                  </w: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垃圾桶</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若干</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kern w:val="0"/>
                      <w:sz w:val="18"/>
                      <w:szCs w:val="18"/>
                    </w:rPr>
                  </w:pPr>
                  <w:r>
                    <w:rPr>
                      <w:rFonts w:hint="eastAsia" w:ascii="宋体" w:hAnsi="宋体" w:eastAsia="宋体" w:cs="宋体"/>
                      <w:color w:val="auto"/>
                      <w:sz w:val="18"/>
                      <w:szCs w:val="18"/>
                    </w:rPr>
                    <w:t>0.2</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bCs/>
                      <w:color w:val="auto"/>
                      <w:kern w:val="0"/>
                      <w:sz w:val="18"/>
                      <w:szCs w:val="18"/>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kern w:val="0"/>
                      <w:sz w:val="18"/>
                      <w:szCs w:val="18"/>
                    </w:rPr>
                  </w:pP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医疗废物</w:t>
                  </w:r>
                  <w:r>
                    <w:rPr>
                      <w:rFonts w:hint="eastAsia" w:ascii="宋体" w:hAnsi="宋体" w:eastAsia="宋体" w:cs="宋体"/>
                      <w:color w:val="auto"/>
                      <w:sz w:val="18"/>
                      <w:szCs w:val="18"/>
                      <w:lang w:eastAsia="zh-CN"/>
                    </w:rPr>
                    <w:t>收集</w:t>
                  </w:r>
                  <w:r>
                    <w:rPr>
                      <w:rFonts w:hint="eastAsia" w:ascii="宋体" w:hAnsi="宋体" w:eastAsia="宋体" w:cs="宋体"/>
                      <w:color w:val="auto"/>
                      <w:sz w:val="18"/>
                      <w:szCs w:val="18"/>
                      <w:lang w:val="en-US" w:eastAsia="zh-CN"/>
                    </w:rPr>
                    <w:t>桶</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15个</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0.4</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bCs/>
                      <w:color w:val="auto"/>
                      <w:kern w:val="0"/>
                      <w:sz w:val="18"/>
                      <w:szCs w:val="18"/>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kern w:val="0"/>
                      <w:sz w:val="18"/>
                      <w:szCs w:val="18"/>
                    </w:rPr>
                  </w:pP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压力蒸汽灭菌器</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1台</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0.5</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kern w:val="0"/>
                      <w:sz w:val="18"/>
                      <w:szCs w:val="18"/>
                      <w:lang w:val="en-US" w:eastAsia="zh-CN"/>
                    </w:rPr>
                  </w:pPr>
                  <w:r>
                    <w:rPr>
                      <w:rFonts w:hint="eastAsia" w:ascii="宋体" w:hAnsi="宋体" w:eastAsia="宋体" w:cs="宋体"/>
                      <w:bCs/>
                      <w:color w:val="auto"/>
                      <w:kern w:val="0"/>
                      <w:sz w:val="18"/>
                      <w:szCs w:val="18"/>
                      <w:lang w:val="en-US" w:eastAsia="zh-CN"/>
                    </w:rPr>
                    <w:t>已有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kern w:val="0"/>
                      <w:sz w:val="18"/>
                      <w:szCs w:val="18"/>
                    </w:rPr>
                  </w:pP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医</w:t>
                  </w:r>
                  <w:r>
                    <w:rPr>
                      <w:rFonts w:hint="eastAsia" w:ascii="宋体" w:hAnsi="宋体" w:eastAsia="宋体" w:cs="宋体"/>
                      <w:color w:val="auto"/>
                      <w:sz w:val="18"/>
                      <w:szCs w:val="18"/>
                    </w:rPr>
                    <w:t>废</w:t>
                  </w:r>
                  <w:r>
                    <w:rPr>
                      <w:rFonts w:hint="eastAsia" w:ascii="宋体" w:hAnsi="宋体" w:eastAsia="宋体" w:cs="宋体"/>
                      <w:color w:val="auto"/>
                      <w:sz w:val="18"/>
                      <w:szCs w:val="18"/>
                      <w:lang w:val="en-US" w:eastAsia="zh-CN"/>
                    </w:rPr>
                    <w:t>废物</w:t>
                  </w:r>
                  <w:r>
                    <w:rPr>
                      <w:rFonts w:hint="eastAsia" w:ascii="宋体" w:hAnsi="宋体" w:eastAsia="宋体" w:cs="宋体"/>
                      <w:color w:val="auto"/>
                      <w:sz w:val="18"/>
                      <w:szCs w:val="18"/>
                    </w:rPr>
                    <w:t>暂存间</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间</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占地面积20</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lang w:val="en-US" w:eastAsia="zh-CN"/>
                    </w:rPr>
                    <w:t>2</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kern w:val="0"/>
                      <w:sz w:val="18"/>
                      <w:szCs w:val="18"/>
                      <w:lang w:eastAsia="zh-CN"/>
                    </w:rPr>
                  </w:pPr>
                  <w:r>
                    <w:rPr>
                      <w:rFonts w:hint="eastAsia" w:ascii="宋体" w:hAnsi="宋体" w:eastAsia="宋体" w:cs="宋体"/>
                      <w:color w:val="auto"/>
                      <w:sz w:val="18"/>
                      <w:szCs w:val="18"/>
                      <w:lang w:val="en-US" w:eastAsia="zh-CN"/>
                    </w:rPr>
                    <w:t>4</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kern w:val="0"/>
                      <w:sz w:val="18"/>
                      <w:szCs w:val="18"/>
                      <w:lang w:eastAsia="zh-CN"/>
                    </w:rPr>
                  </w:pPr>
                  <w:r>
                    <w:rPr>
                      <w:rFonts w:hint="eastAsia" w:ascii="宋体" w:hAnsi="宋体" w:eastAsia="宋体" w:cs="宋体"/>
                      <w:bCs/>
                      <w:color w:val="auto"/>
                      <w:kern w:val="0"/>
                      <w:sz w:val="18"/>
                      <w:szCs w:val="18"/>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kern w:val="0"/>
                      <w:sz w:val="18"/>
                      <w:szCs w:val="18"/>
                    </w:rPr>
                  </w:pP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污泥池</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一座</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1m³</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kern w:val="0"/>
                      <w:sz w:val="18"/>
                      <w:szCs w:val="18"/>
                      <w:lang w:val="en-US" w:eastAsia="zh-CN"/>
                    </w:rPr>
                  </w:pPr>
                  <w:r>
                    <w:rPr>
                      <w:rFonts w:hint="eastAsia" w:ascii="宋体" w:hAnsi="宋体" w:eastAsia="宋体" w:cs="宋体"/>
                      <w:bCs/>
                      <w:color w:val="auto"/>
                      <w:kern w:val="0"/>
                      <w:sz w:val="18"/>
                      <w:szCs w:val="18"/>
                      <w:lang w:val="en-US" w:eastAsia="zh-CN"/>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kern w:val="0"/>
                      <w:sz w:val="18"/>
                      <w:szCs w:val="18"/>
                      <w:lang w:val="en-US" w:eastAsia="zh-CN"/>
                    </w:rPr>
                  </w:pPr>
                  <w:r>
                    <w:rPr>
                      <w:rFonts w:hint="eastAsia" w:ascii="宋体" w:hAnsi="宋体" w:eastAsia="宋体" w:cs="宋体"/>
                      <w:b w:val="0"/>
                      <w:bCs/>
                      <w:color w:val="auto"/>
                      <w:kern w:val="0"/>
                      <w:sz w:val="18"/>
                      <w:szCs w:val="18"/>
                      <w:lang w:val="en-US" w:eastAsia="zh-CN"/>
                    </w:rPr>
                    <w:t>噪声</w:t>
                  </w:r>
                </w:p>
              </w:tc>
              <w:tc>
                <w:tcPr>
                  <w:tcW w:w="14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highlight w:val="none"/>
                    </w:rPr>
                    <w:t>选用低噪声设备、</w:t>
                  </w:r>
                  <w:r>
                    <w:rPr>
                      <w:rFonts w:hint="eastAsia" w:ascii="宋体" w:hAnsi="宋体" w:eastAsia="宋体" w:cs="宋体"/>
                      <w:color w:val="auto"/>
                      <w:sz w:val="18"/>
                      <w:szCs w:val="18"/>
                      <w:highlight w:val="none"/>
                      <w:lang w:eastAsia="zh-CN"/>
                    </w:rPr>
                    <w:t>建筑隔声</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18"/>
                      <w:szCs w:val="18"/>
                      <w:lang w:val="en-US" w:eastAsia="zh-CN"/>
                    </w:rPr>
                  </w:pPr>
                  <w:r>
                    <w:rPr>
                      <w:rFonts w:hint="eastAsia" w:ascii="宋体" w:hAnsi="宋体" w:eastAsia="宋体" w:cs="宋体"/>
                      <w:color w:val="auto"/>
                      <w:sz w:val="18"/>
                      <w:szCs w:val="18"/>
                    </w:rPr>
                    <w:t>——</w:t>
                  </w:r>
                </w:p>
              </w:tc>
              <w:tc>
                <w:tcPr>
                  <w:tcW w:w="97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207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其他</w:t>
                  </w:r>
                </w:p>
              </w:tc>
              <w:tc>
                <w:tcPr>
                  <w:tcW w:w="1480"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分区防渗</w:t>
                  </w: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重点防渗区</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lang w:val="en-US" w:eastAsia="zh-CN"/>
                    </w:rPr>
                    <w:t>医疗废物暂存间</w:t>
                  </w:r>
                  <w:r>
                    <w:rPr>
                      <w:rFonts w:hint="eastAsia" w:ascii="宋体" w:hAnsi="宋体" w:eastAsia="宋体" w:cs="宋体"/>
                      <w:color w:val="auto"/>
                      <w:sz w:val="18"/>
                      <w:szCs w:val="18"/>
                      <w:lang w:val="en-US" w:eastAsia="zh-CN"/>
                    </w:rPr>
                    <w:t xml:space="preserve"> </w:t>
                  </w:r>
                </w:p>
              </w:tc>
              <w:tc>
                <w:tcPr>
                  <w:tcW w:w="972"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207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p>
              </w:tc>
              <w:tc>
                <w:tcPr>
                  <w:tcW w:w="14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一般防渗区</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lang w:val="en-US" w:eastAsia="zh-CN"/>
                    </w:rPr>
                    <w:t>化粪池、事故池、污水处理设施</w:t>
                  </w:r>
                </w:p>
              </w:tc>
              <w:tc>
                <w:tcPr>
                  <w:tcW w:w="972"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p>
              </w:tc>
              <w:tc>
                <w:tcPr>
                  <w:tcW w:w="207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0" w:type="dxa"/>
                  <w:vMerge w:val="continue"/>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b/>
                      <w:color w:val="auto"/>
                      <w:kern w:val="0"/>
                      <w:sz w:val="18"/>
                      <w:szCs w:val="18"/>
                    </w:rPr>
                  </w:pPr>
                </w:p>
              </w:tc>
              <w:tc>
                <w:tcPr>
                  <w:tcW w:w="4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p>
              </w:tc>
              <w:tc>
                <w:tcPr>
                  <w:tcW w:w="14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p>
              </w:tc>
              <w:tc>
                <w:tcPr>
                  <w:tcW w:w="8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简单防渗区</w:t>
                  </w:r>
                </w:p>
              </w:tc>
              <w:tc>
                <w:tcPr>
                  <w:tcW w:w="16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lang w:val="en-US" w:eastAsia="zh-CN"/>
                    </w:rPr>
                    <w:t>其它</w:t>
                  </w:r>
                </w:p>
              </w:tc>
              <w:tc>
                <w:tcPr>
                  <w:tcW w:w="972"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p>
              </w:tc>
              <w:tc>
                <w:tcPr>
                  <w:tcW w:w="207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789" w:type="dxa"/>
                  <w:gridSpan w:val="5"/>
                  <w:tcBorders>
                    <w:left w:val="single" w:color="auto" w:sz="4" w:space="0"/>
                    <w:right w:val="single" w:color="auto" w:sz="4" w:space="0"/>
                  </w:tcBorders>
                  <w:vAlign w:val="center"/>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b/>
                      <w:color w:val="auto"/>
                      <w:sz w:val="18"/>
                      <w:szCs w:val="18"/>
                    </w:rPr>
                  </w:pPr>
                  <w:r>
                    <w:rPr>
                      <w:rFonts w:hint="eastAsia" w:ascii="宋体" w:hAnsi="宋体" w:eastAsia="宋体" w:cs="宋体"/>
                      <w:b/>
                      <w:color w:val="auto"/>
                      <w:kern w:val="0"/>
                      <w:sz w:val="18"/>
                      <w:szCs w:val="18"/>
                    </w:rPr>
                    <w:t>合计</w:t>
                  </w:r>
                </w:p>
              </w:tc>
              <w:tc>
                <w:tcPr>
                  <w:tcW w:w="3045" w:type="dxa"/>
                  <w:gridSpan w:val="2"/>
                  <w:tcBorders>
                    <w:left w:val="single" w:color="auto" w:sz="4" w:space="0"/>
                  </w:tcBorders>
                  <w:vAlign w:val="top"/>
                </w:tcPr>
                <w:p>
                  <w:pPr>
                    <w:pStyle w:val="44"/>
                    <w:keepNext w:val="0"/>
                    <w:keepLines w:val="0"/>
                    <w:pageBreakBefore w:val="0"/>
                    <w:widowControl w:val="0"/>
                    <w:tabs>
                      <w:tab w:val="left" w:pos="1257"/>
                    </w:tabs>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b/>
                      <w:color w:val="auto"/>
                      <w:kern w:val="0"/>
                      <w:sz w:val="18"/>
                      <w:szCs w:val="18"/>
                      <w:lang w:val="en-US" w:eastAsia="zh-CN"/>
                    </w:rPr>
                  </w:pPr>
                  <w:r>
                    <w:rPr>
                      <w:rFonts w:hint="eastAsia" w:ascii="宋体" w:hAnsi="宋体" w:eastAsia="宋体" w:cs="宋体"/>
                      <w:b/>
                      <w:color w:val="auto"/>
                      <w:kern w:val="0"/>
                      <w:sz w:val="18"/>
                      <w:szCs w:val="18"/>
                      <w:lang w:val="en-US" w:eastAsia="zh-CN"/>
                    </w:rPr>
                    <w:t>35.51</w:t>
                  </w:r>
                </w:p>
              </w:tc>
            </w:tr>
          </w:tbl>
          <w:p>
            <w:pPr>
              <w:numPr>
                <w:ilvl w:val="0"/>
                <w:numId w:val="0"/>
              </w:numPr>
              <w:spacing w:line="360" w:lineRule="auto"/>
              <w:ind w:firstLine="0"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2.2.9项目水平衡</w:t>
            </w:r>
          </w:p>
          <w:p>
            <w:pPr>
              <w:spacing w:line="360" w:lineRule="auto"/>
              <w:ind w:firstLine="56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根据业主介绍，项目所用床单、被子、病服等在项目区内进行清洗</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项目影像科采用医用干式胶片，运营过程中不产生洗印废水；项目不设置同位素诊疗室，无</w:t>
            </w:r>
            <w:r>
              <w:rPr>
                <w:rFonts w:hint="eastAsia" w:ascii="宋体" w:hAnsi="宋体" w:cs="宋体"/>
                <w:color w:val="auto"/>
                <w:sz w:val="24"/>
                <w:szCs w:val="24"/>
                <w:lang w:val="en-US" w:eastAsia="zh-CN"/>
              </w:rPr>
              <w:t>放</w:t>
            </w:r>
            <w:r>
              <w:rPr>
                <w:rFonts w:hint="eastAsia" w:ascii="宋体" w:hAnsi="宋体" w:eastAsia="宋体" w:cs="宋体"/>
                <w:color w:val="auto"/>
                <w:sz w:val="24"/>
                <w:szCs w:val="24"/>
              </w:rPr>
              <w:t>射性废水；本项目不设传染科，不产生传染科废水。</w:t>
            </w:r>
            <w:r>
              <w:rPr>
                <w:rFonts w:hint="eastAsia" w:ascii="宋体" w:hAnsi="宋体" w:cs="宋体"/>
                <w:color w:val="auto"/>
                <w:sz w:val="24"/>
                <w:szCs w:val="24"/>
                <w:lang w:val="en-US" w:eastAsia="zh-CN"/>
              </w:rPr>
              <w:t>项目部设食堂，无厨余废水。</w:t>
            </w:r>
            <w:r>
              <w:rPr>
                <w:rFonts w:hint="eastAsia" w:ascii="宋体" w:hAnsi="宋体" w:eastAsia="宋体" w:cs="宋体"/>
                <w:color w:val="auto"/>
                <w:sz w:val="24"/>
                <w:szCs w:val="24"/>
              </w:rPr>
              <w:t>本项目设置保留的公厕不对外开放，用水量含在门诊用水中，不再单独进行计算。</w:t>
            </w:r>
            <w:r>
              <w:rPr>
                <w:rFonts w:hint="eastAsia" w:ascii="宋体" w:hAnsi="宋体" w:cs="宋体"/>
                <w:color w:val="auto"/>
                <w:sz w:val="24"/>
                <w:szCs w:val="24"/>
                <w:lang w:val="en-US" w:eastAsia="zh-CN"/>
              </w:rPr>
              <w:t>项目不设置口腔科，显像不使用含重金属物质。</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本项目废水主要包括门诊废水、</w:t>
            </w:r>
            <w:r>
              <w:rPr>
                <w:rFonts w:hint="eastAsia" w:ascii="宋体" w:hAnsi="宋体" w:eastAsia="宋体" w:cs="宋体"/>
                <w:color w:val="auto"/>
                <w:sz w:val="24"/>
                <w:szCs w:val="24"/>
                <w:lang w:val="en-US" w:eastAsia="zh-CN"/>
              </w:rPr>
              <w:t>住院</w:t>
            </w:r>
            <w:r>
              <w:rPr>
                <w:rFonts w:hint="eastAsia" w:ascii="宋体" w:hAnsi="宋体" w:eastAsia="宋体" w:cs="宋体"/>
                <w:color w:val="auto"/>
                <w:sz w:val="24"/>
                <w:szCs w:val="24"/>
              </w:rPr>
              <w:t>废水、煎药废水、手术废水、检验科废水（不涉及重金属物质，不会产生含铬废液及含氰废液)等。</w:t>
            </w:r>
          </w:p>
          <w:p>
            <w:pPr>
              <w:keepNext/>
              <w:keepLines/>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门诊废水</w:t>
            </w:r>
          </w:p>
          <w:p>
            <w:pPr>
              <w:keepNext/>
              <w:keepLines/>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根据建设单位提供资料</w:t>
            </w:r>
            <w:r>
              <w:rPr>
                <w:rFonts w:hint="eastAsia" w:ascii="宋体" w:hAnsi="宋体" w:eastAsia="宋体" w:cs="宋体"/>
                <w:color w:val="auto"/>
                <w:sz w:val="24"/>
                <w:szCs w:val="24"/>
              </w:rPr>
              <w:t>，勐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镇卫生院</w:t>
            </w:r>
            <w:r>
              <w:rPr>
                <w:rFonts w:hint="eastAsia" w:ascii="宋体" w:hAnsi="宋体" w:eastAsia="宋体" w:cs="宋体"/>
                <w:color w:val="auto"/>
                <w:sz w:val="24"/>
                <w:szCs w:val="24"/>
                <w:lang w:val="en-US" w:eastAsia="zh-CN"/>
              </w:rPr>
              <w:t>日最大接诊100</w:t>
            </w:r>
            <w:r>
              <w:rPr>
                <w:rFonts w:hint="eastAsia" w:ascii="宋体" w:hAnsi="宋体" w:eastAsia="宋体" w:cs="宋体"/>
                <w:color w:val="auto"/>
                <w:sz w:val="24"/>
                <w:szCs w:val="24"/>
              </w:rPr>
              <w:t>人次，接诊率按100%计，根据《云南省地方标准用水定额》（DB53/T 168—2019）（无住院部含行政及医护人员，附属设施等综合用水）：</w:t>
            </w:r>
            <w:r>
              <w:rPr>
                <w:rFonts w:hint="eastAsia" w:ascii="宋体" w:hAnsi="宋体" w:eastAsia="宋体" w:cs="宋体"/>
                <w:color w:val="auto"/>
                <w:sz w:val="24"/>
                <w:szCs w:val="24"/>
                <w:lang w:val="en-US" w:eastAsia="zh-CN"/>
              </w:rPr>
              <w:t>卫生所</w:t>
            </w:r>
            <w:r>
              <w:rPr>
                <w:rFonts w:hint="eastAsia" w:ascii="宋体" w:hAnsi="宋体" w:eastAsia="宋体" w:cs="宋体"/>
                <w:color w:val="auto"/>
                <w:sz w:val="24"/>
                <w:szCs w:val="24"/>
              </w:rPr>
              <w:t>用水定额为</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L/人·次，则门诊用水量为</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/d，约</w:t>
            </w:r>
            <w:r>
              <w:rPr>
                <w:rFonts w:hint="eastAsia" w:ascii="宋体" w:hAnsi="宋体" w:eastAsia="宋体" w:cs="宋体"/>
                <w:color w:val="auto"/>
                <w:sz w:val="24"/>
                <w:szCs w:val="24"/>
                <w:lang w:val="en-US" w:eastAsia="zh-CN"/>
              </w:rPr>
              <w:t>547.5</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/a，废水量按用水量的80%计，为</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/d，约</w:t>
            </w:r>
            <w:r>
              <w:rPr>
                <w:rFonts w:hint="eastAsia" w:ascii="宋体" w:hAnsi="宋体" w:eastAsia="宋体" w:cs="宋体"/>
                <w:color w:val="auto"/>
                <w:sz w:val="24"/>
                <w:szCs w:val="24"/>
                <w:lang w:val="en-US" w:eastAsia="zh-CN"/>
              </w:rPr>
              <w:t>438</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w:t>
            </w:r>
          </w:p>
          <w:p>
            <w:pPr>
              <w:keepNext/>
              <w:keepLines/>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住院</w:t>
            </w:r>
            <w:r>
              <w:rPr>
                <w:rFonts w:hint="eastAsia" w:ascii="宋体" w:hAnsi="宋体" w:eastAsia="宋体" w:cs="宋体"/>
                <w:color w:val="auto"/>
                <w:sz w:val="24"/>
                <w:szCs w:val="24"/>
              </w:rPr>
              <w:t>废水</w:t>
            </w:r>
          </w:p>
          <w:p>
            <w:pPr>
              <w:keepNext/>
              <w:keepLines/>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镇卫生院编制床位</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床。根据《云南省地方标准用水定额》（DB53/T168—2019）：医院住院部用水定额为</w:t>
            </w:r>
            <w:r>
              <w:rPr>
                <w:rFonts w:hint="eastAsia" w:ascii="宋体" w:hAnsi="宋体" w:eastAsia="宋体" w:cs="宋体"/>
                <w:color w:val="auto"/>
                <w:sz w:val="24"/>
                <w:szCs w:val="24"/>
                <w:lang w:val="en-US" w:eastAsia="zh-CN"/>
              </w:rPr>
              <w:t>150</w:t>
            </w:r>
            <w:r>
              <w:rPr>
                <w:rFonts w:hint="eastAsia" w:ascii="宋体" w:hAnsi="宋体" w:eastAsia="宋体" w:cs="宋体"/>
                <w:color w:val="auto"/>
                <w:sz w:val="24"/>
                <w:szCs w:val="24"/>
              </w:rPr>
              <w:t>L/床·d，病房内</w:t>
            </w:r>
            <w:r>
              <w:rPr>
                <w:rFonts w:hint="eastAsia" w:ascii="宋体" w:hAnsi="宋体" w:eastAsia="宋体" w:cs="宋体"/>
                <w:color w:val="auto"/>
                <w:sz w:val="24"/>
                <w:szCs w:val="24"/>
                <w:lang w:val="en-US" w:eastAsia="zh-CN"/>
              </w:rPr>
              <w:t>不</w:t>
            </w:r>
            <w:r>
              <w:rPr>
                <w:rFonts w:hint="eastAsia" w:ascii="宋体" w:hAnsi="宋体" w:eastAsia="宋体" w:cs="宋体"/>
                <w:color w:val="auto"/>
                <w:sz w:val="24"/>
                <w:szCs w:val="24"/>
              </w:rPr>
              <w:t>带洗浴（含行政及医护人员、附属设施等综合用水），则住院部用水量为</w:t>
            </w: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1204.5</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/a，废水量按用水量的80%计，为</w:t>
            </w:r>
            <w:r>
              <w:rPr>
                <w:rFonts w:hint="eastAsia" w:ascii="宋体" w:hAnsi="宋体" w:eastAsia="宋体" w:cs="宋体"/>
                <w:color w:val="auto"/>
                <w:sz w:val="24"/>
                <w:szCs w:val="24"/>
                <w:lang w:val="en-US" w:eastAsia="zh-CN"/>
              </w:rPr>
              <w:t>2.64</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963.6</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w:t>
            </w:r>
          </w:p>
          <w:p>
            <w:pPr>
              <w:pStyle w:val="16"/>
              <w:spacing w:line="360" w:lineRule="auto"/>
              <w:ind w:firstLine="560"/>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b w:val="0"/>
                <w:bCs w:val="0"/>
                <w:color w:val="auto"/>
                <w:sz w:val="24"/>
                <w:szCs w:val="24"/>
                <w:lang w:val="en-US" w:eastAsia="zh-CN"/>
              </w:rPr>
              <w:t>医护人员生活用水</w:t>
            </w:r>
          </w:p>
          <w:p>
            <w:pPr>
              <w:keepNext/>
              <w:keepLines/>
              <w:spacing w:line="360" w:lineRule="auto"/>
              <w:ind w:firstLine="56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本项目用水由市政供水系统供水，</w:t>
            </w:r>
            <w:r>
              <w:rPr>
                <w:rFonts w:hint="eastAsia" w:ascii="宋体" w:hAnsi="宋体" w:eastAsia="宋体" w:cs="宋体"/>
                <w:b w:val="0"/>
                <w:bCs w:val="0"/>
                <w:color w:val="auto"/>
                <w:sz w:val="24"/>
                <w:szCs w:val="24"/>
                <w:lang w:val="en-US" w:eastAsia="zh-CN"/>
              </w:rPr>
              <w:t>卫生院不设食堂，20人在卫生院住宿，</w:t>
            </w:r>
            <w:r>
              <w:rPr>
                <w:rFonts w:hint="eastAsia" w:ascii="宋体" w:hAnsi="宋体" w:eastAsia="宋体" w:cs="宋体"/>
                <w:color w:val="auto"/>
                <w:sz w:val="24"/>
                <w:szCs w:val="24"/>
              </w:rPr>
              <w:t>根据《云南省用水定额标准》(DB53/T168-2019)城镇居民用水定额，项目职工生活用水按100L(人·d)计</w:t>
            </w:r>
            <w:r>
              <w:rPr>
                <w:rFonts w:hint="eastAsia" w:ascii="宋体" w:hAnsi="宋体" w:eastAsia="宋体" w:cs="宋体"/>
                <w:color w:val="auto"/>
                <w:sz w:val="24"/>
                <w:szCs w:val="24"/>
                <w:lang w:eastAsia="zh-CN"/>
              </w:rPr>
              <w:t>，</w:t>
            </w:r>
            <w:r>
              <w:rPr>
                <w:rFonts w:hint="eastAsia" w:ascii="宋体" w:hAnsi="宋体" w:eastAsia="宋体" w:cs="宋体"/>
                <w:b w:val="0"/>
                <w:bCs w:val="0"/>
                <w:color w:val="auto"/>
                <w:sz w:val="24"/>
                <w:szCs w:val="24"/>
              </w:rPr>
              <w:t>则</w:t>
            </w:r>
            <w:r>
              <w:rPr>
                <w:rFonts w:hint="eastAsia" w:ascii="宋体" w:hAnsi="宋体" w:eastAsia="宋体" w:cs="宋体"/>
                <w:b w:val="0"/>
                <w:bCs w:val="0"/>
                <w:color w:val="auto"/>
                <w:sz w:val="24"/>
                <w:szCs w:val="24"/>
                <w:lang w:val="en-US" w:eastAsia="zh-CN"/>
              </w:rPr>
              <w:t>医护人员</w:t>
            </w:r>
            <w:r>
              <w:rPr>
                <w:rFonts w:hint="eastAsia" w:ascii="宋体" w:hAnsi="宋体" w:eastAsia="宋体" w:cs="宋体"/>
                <w:b w:val="0"/>
                <w:bCs w:val="0"/>
                <w:color w:val="auto"/>
                <w:sz w:val="24"/>
                <w:szCs w:val="24"/>
              </w:rPr>
              <w:t>生活用水量为</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eastAsia="zh-CN"/>
              </w:rPr>
              <w:t>m³</w:t>
            </w:r>
            <w:r>
              <w:rPr>
                <w:rFonts w:hint="eastAsia" w:ascii="宋体" w:hAnsi="宋体" w:eastAsia="宋体" w:cs="宋体"/>
                <w:b w:val="0"/>
                <w:bCs w:val="0"/>
                <w:color w:val="auto"/>
                <w:sz w:val="24"/>
                <w:szCs w:val="24"/>
                <w:lang w:val="en-US" w:eastAsia="zh-CN"/>
              </w:rPr>
              <w:t>/d、730</w:t>
            </w:r>
            <w:r>
              <w:rPr>
                <w:rFonts w:hint="eastAsia" w:ascii="宋体" w:hAnsi="宋体" w:eastAsia="宋体" w:cs="宋体"/>
                <w:b w:val="0"/>
                <w:bCs w:val="0"/>
                <w:color w:val="auto"/>
                <w:sz w:val="24"/>
                <w:szCs w:val="24"/>
                <w:lang w:eastAsia="zh-CN"/>
              </w:rPr>
              <w:t>m³</w:t>
            </w:r>
            <w:r>
              <w:rPr>
                <w:rFonts w:hint="eastAsia" w:ascii="宋体" w:hAnsi="宋体" w:eastAsia="宋体" w:cs="宋体"/>
                <w:b w:val="0"/>
                <w:bCs w:val="0"/>
                <w:color w:val="auto"/>
                <w:sz w:val="24"/>
                <w:szCs w:val="24"/>
              </w:rPr>
              <w:t>/a。废水量按用水量的80%计，为</w:t>
            </w:r>
            <w:r>
              <w:rPr>
                <w:rFonts w:hint="eastAsia" w:ascii="宋体" w:hAnsi="宋体" w:eastAsia="宋体" w:cs="宋体"/>
                <w:b w:val="0"/>
                <w:bCs w:val="0"/>
                <w:color w:val="auto"/>
                <w:sz w:val="24"/>
                <w:szCs w:val="24"/>
                <w:lang w:val="en-US" w:eastAsia="zh-CN"/>
              </w:rPr>
              <w:t>1.6</w:t>
            </w:r>
            <w:r>
              <w:rPr>
                <w:rFonts w:hint="eastAsia" w:ascii="宋体" w:hAnsi="宋体" w:eastAsia="宋体" w:cs="宋体"/>
                <w:b w:val="0"/>
                <w:bCs w:val="0"/>
                <w:color w:val="auto"/>
                <w:sz w:val="24"/>
                <w:szCs w:val="24"/>
                <w:lang w:eastAsia="zh-CN"/>
              </w:rPr>
              <w:t>m³</w:t>
            </w:r>
            <w:r>
              <w:rPr>
                <w:rFonts w:hint="eastAsia" w:ascii="宋体" w:hAnsi="宋体" w:eastAsia="宋体" w:cs="宋体"/>
                <w:b w:val="0"/>
                <w:bCs w:val="0"/>
                <w:color w:val="auto"/>
                <w:sz w:val="24"/>
                <w:szCs w:val="24"/>
              </w:rPr>
              <w:t>/d，</w:t>
            </w:r>
            <w:r>
              <w:rPr>
                <w:rFonts w:hint="eastAsia" w:ascii="宋体" w:hAnsi="宋体" w:eastAsia="宋体" w:cs="宋体"/>
                <w:b w:val="0"/>
                <w:bCs w:val="0"/>
                <w:color w:val="auto"/>
                <w:sz w:val="24"/>
                <w:szCs w:val="24"/>
                <w:lang w:val="en-US" w:eastAsia="zh-CN"/>
              </w:rPr>
              <w:t>584</w:t>
            </w:r>
            <w:r>
              <w:rPr>
                <w:rFonts w:hint="eastAsia" w:ascii="宋体" w:hAnsi="宋体" w:eastAsia="宋体" w:cs="宋体"/>
                <w:b w:val="0"/>
                <w:bCs w:val="0"/>
                <w:color w:val="auto"/>
                <w:sz w:val="24"/>
                <w:szCs w:val="24"/>
                <w:lang w:eastAsia="zh-CN"/>
              </w:rPr>
              <w:t>m³</w:t>
            </w:r>
            <w:r>
              <w:rPr>
                <w:rFonts w:hint="eastAsia" w:ascii="宋体" w:hAnsi="宋体" w:eastAsia="宋体" w:cs="宋体"/>
                <w:b w:val="0"/>
                <w:bCs w:val="0"/>
                <w:color w:val="auto"/>
                <w:sz w:val="24"/>
                <w:szCs w:val="24"/>
              </w:rPr>
              <w:t>/a。</w:t>
            </w:r>
          </w:p>
          <w:p>
            <w:pPr>
              <w:pStyle w:val="16"/>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检验废水</w:t>
            </w:r>
          </w:p>
          <w:p>
            <w:pPr>
              <w:widowControl/>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b w:val="0"/>
                <w:bCs w:val="0"/>
                <w:color w:val="auto"/>
                <w:kern w:val="0"/>
                <w:sz w:val="24"/>
                <w:szCs w:val="24"/>
                <w:lang w:bidi="ar"/>
              </w:rPr>
              <w:t>本项目检验科主要进行常规的血样、尿样分析，不使用含重金</w:t>
            </w:r>
            <w:r>
              <w:rPr>
                <w:rFonts w:hint="eastAsia" w:ascii="宋体" w:hAnsi="宋体" w:eastAsia="宋体" w:cs="宋体"/>
                <w:color w:val="auto"/>
                <w:kern w:val="0"/>
                <w:sz w:val="24"/>
                <w:szCs w:val="24"/>
                <w:lang w:bidi="ar"/>
              </w:rPr>
              <w:t>属的药剂，检验科的试剂使用设备厂家配套的套装试剂，不会产生废试剂；</w:t>
            </w:r>
            <w:r>
              <w:rPr>
                <w:rFonts w:hint="eastAsia" w:ascii="宋体" w:hAnsi="宋体" w:cs="宋体"/>
                <w:color w:val="auto"/>
                <w:kern w:val="0"/>
                <w:sz w:val="24"/>
                <w:szCs w:val="24"/>
                <w:lang w:val="en-US" w:eastAsia="zh-CN" w:bidi="ar"/>
              </w:rPr>
              <w:t>试剂存放于检验室。</w:t>
            </w:r>
            <w:r>
              <w:rPr>
                <w:rFonts w:hint="eastAsia" w:ascii="宋体" w:hAnsi="宋体" w:eastAsia="宋体" w:cs="宋体"/>
                <w:color w:val="auto"/>
                <w:kern w:val="0"/>
                <w:sz w:val="24"/>
                <w:szCs w:val="24"/>
                <w:lang w:bidi="ar"/>
              </w:rPr>
              <w:t>检验科废水主要为检验设备清洗废水，不会产生含氰、含铬等重金属废水，进入自建的污水处理站进行处理。</w:t>
            </w:r>
          </w:p>
          <w:p>
            <w:pPr>
              <w:widowControl/>
              <w:adjustRightInd w:val="0"/>
              <w:snapToGrid w:val="0"/>
              <w:spacing w:line="360" w:lineRule="auto"/>
              <w:ind w:firstLine="480" w:firstLineChars="200"/>
              <w:jc w:val="left"/>
              <w:rPr>
                <w:rFonts w:hint="eastAsia" w:ascii="宋体" w:hAnsi="宋体" w:eastAsia="宋体" w:cs="宋体"/>
                <w:color w:val="auto"/>
                <w:kern w:val="0"/>
                <w:sz w:val="24"/>
                <w:szCs w:val="24"/>
                <w:lang w:bidi="ar"/>
              </w:rPr>
            </w:pPr>
            <w:r>
              <w:rPr>
                <w:rFonts w:hint="eastAsia" w:ascii="宋体" w:hAnsi="宋体" w:eastAsia="宋体" w:cs="宋体"/>
                <w:color w:val="auto"/>
                <w:sz w:val="24"/>
                <w:szCs w:val="24"/>
              </w:rPr>
              <w:t>据</w:t>
            </w:r>
            <w:r>
              <w:rPr>
                <w:rFonts w:hint="eastAsia" w:ascii="宋体" w:hAnsi="宋体" w:eastAsia="宋体" w:cs="宋体"/>
                <w:color w:val="auto"/>
                <w:sz w:val="24"/>
                <w:szCs w:val="24"/>
                <w:lang w:val="en-US" w:eastAsia="zh-CN"/>
              </w:rPr>
              <w:t>业主</w:t>
            </w:r>
            <w:r>
              <w:rPr>
                <w:rFonts w:hint="eastAsia" w:ascii="宋体" w:hAnsi="宋体" w:eastAsia="宋体" w:cs="宋体"/>
                <w:color w:val="auto"/>
                <w:sz w:val="24"/>
                <w:szCs w:val="24"/>
              </w:rPr>
              <w:t>提供资料，</w:t>
            </w:r>
            <w:r>
              <w:rPr>
                <w:rFonts w:hint="eastAsia" w:ascii="宋体" w:hAnsi="宋体" w:eastAsia="宋体" w:cs="宋体"/>
                <w:color w:val="auto"/>
                <w:sz w:val="24"/>
                <w:szCs w:val="24"/>
                <w:lang w:val="en-US" w:eastAsia="zh-CN"/>
              </w:rPr>
              <w:t>卫生院每天需要化验人数为20人，</w:t>
            </w:r>
            <w:r>
              <w:rPr>
                <w:rFonts w:hint="eastAsia" w:ascii="宋体" w:hAnsi="宋体" w:eastAsia="宋体" w:cs="宋体"/>
                <w:color w:val="auto"/>
                <w:sz w:val="24"/>
                <w:szCs w:val="24"/>
              </w:rPr>
              <w:t>检验清洗用水按5L/(人•d)计算，检验清洗用水量约为0.1m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36.5</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/a，污水产生系数按8</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%计，污水产生量0.</w:t>
            </w:r>
            <w:r>
              <w:rPr>
                <w:rFonts w:hint="eastAsia" w:ascii="宋体" w:hAnsi="宋体" w:eastAsia="宋体" w:cs="宋体"/>
                <w:color w:val="auto"/>
                <w:sz w:val="24"/>
                <w:szCs w:val="24"/>
                <w:lang w:val="en-US" w:eastAsia="zh-CN"/>
              </w:rPr>
              <w:t>08</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29.2</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/a。产生的检验废水为少量的血常规检验酸性废水，</w:t>
            </w:r>
            <w:r>
              <w:rPr>
                <w:rFonts w:hint="eastAsia" w:ascii="宋体" w:hAnsi="宋体" w:eastAsia="宋体" w:cs="宋体"/>
                <w:color w:val="auto"/>
                <w:kern w:val="0"/>
                <w:sz w:val="24"/>
                <w:szCs w:val="24"/>
                <w:lang w:bidi="ar"/>
              </w:rPr>
              <w:t>属特殊医疗废水，需采用封闭式收集桶单独收集经中和预处理后再排入化粪池及污水处理站。</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（5）手术废水</w:t>
            </w:r>
          </w:p>
          <w:p>
            <w:pPr>
              <w:widowControl/>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kern w:val="0"/>
                <w:sz w:val="24"/>
                <w:szCs w:val="24"/>
                <w:lang w:val="en-US" w:eastAsia="zh-CN" w:bidi="ar"/>
              </w:rPr>
              <w:t>项目计划开展手术类型主要为节育、人流、痔疮切除等。</w:t>
            </w:r>
            <w:r>
              <w:rPr>
                <w:rFonts w:hint="eastAsia" w:ascii="宋体" w:hAnsi="宋体" w:eastAsia="宋体" w:cs="宋体"/>
                <w:color w:val="auto"/>
                <w:kern w:val="0"/>
                <w:sz w:val="24"/>
                <w:szCs w:val="24"/>
                <w:lang w:bidi="ar"/>
              </w:rPr>
              <w:t>手术室用水主要为室内清洗和消毒，根据业主资料，平均每周1次手术，用水量约为1m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/次，全年手术合计52天，用水量合计为52m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/a，平均到每天水量为0.14m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/d，产污系数按0.8计，则手术室废水量为0.11</w:t>
            </w: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/d，</w:t>
            </w:r>
            <w:r>
              <w:rPr>
                <w:rFonts w:hint="eastAsia" w:ascii="宋体" w:hAnsi="宋体" w:eastAsia="宋体" w:cs="宋体"/>
                <w:color w:val="auto"/>
                <w:kern w:val="0"/>
                <w:sz w:val="24"/>
                <w:szCs w:val="24"/>
                <w:lang w:val="en-US" w:eastAsia="zh-CN" w:bidi="ar"/>
              </w:rPr>
              <w:t>40.88</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/a。</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（6）煎药及清洗用水</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煎药用水主要为中药煎熬用水及煎药机清洗用水。煎药机煎药次数约</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副/d。类比同类项目，单幅煎药用水量为0.005m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，全年按365天计,煎药用水量为0.0</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 ，</w:t>
            </w:r>
            <w:r>
              <w:rPr>
                <w:rFonts w:hint="eastAsia" w:ascii="宋体" w:hAnsi="宋体" w:eastAsia="宋体" w:cs="宋体"/>
                <w:color w:val="auto"/>
                <w:sz w:val="24"/>
                <w:szCs w:val="24"/>
                <w:lang w:val="en-US" w:eastAsia="zh-CN"/>
              </w:rPr>
              <w:t>9.125</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/a，该用水一部分蒸发，少部分残留在药渣内，剩余部分存留于药液，不产生废水。</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煎药机清洗用水量约0.02 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/次，每次煎药后均需要清洗，煎药机清洗用水量为0.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 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36.5</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/a。产污系数按80%计，则煎药机清洗废水产生量为</w:t>
            </w:r>
            <w:r>
              <w:rPr>
                <w:rFonts w:hint="eastAsia" w:ascii="宋体" w:hAnsi="宋体" w:eastAsia="宋体" w:cs="宋体"/>
                <w:color w:val="auto"/>
                <w:sz w:val="24"/>
                <w:szCs w:val="24"/>
                <w:lang w:val="en-US" w:eastAsia="zh-CN"/>
              </w:rPr>
              <w:t>0.08</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29.2</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w:t>
            </w:r>
          </w:p>
          <w:p>
            <w:pPr>
              <w:pStyle w:val="16"/>
              <w:numPr>
                <w:ilvl w:val="0"/>
                <w:numId w:val="5"/>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熏蒸用水</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傣医馆</w:t>
            </w:r>
            <w:r>
              <w:rPr>
                <w:rFonts w:hint="eastAsia" w:ascii="宋体" w:hAnsi="宋体" w:eastAsia="宋体" w:cs="宋体"/>
                <w:color w:val="auto"/>
                <w:sz w:val="24"/>
                <w:szCs w:val="24"/>
              </w:rPr>
              <w:t>每天约熏蒸5人次，根据类比每人熏蒸用水量约150L，项目熏蒸用水量为0.75m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/d，273.75m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/a。产污系数按8</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%计，则熏蒸废水产生量为0.6m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219</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w:t>
            </w:r>
          </w:p>
          <w:p>
            <w:pPr>
              <w:pStyle w:val="28"/>
              <w:numPr>
                <w:ilvl w:val="0"/>
                <w:numId w:val="5"/>
              </w:numPr>
              <w:ind w:left="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地面</w:t>
            </w:r>
            <w:r>
              <w:rPr>
                <w:rFonts w:hint="eastAsia" w:ascii="宋体" w:hAnsi="宋体" w:eastAsia="宋体" w:cs="宋体"/>
                <w:color w:val="auto"/>
                <w:sz w:val="24"/>
                <w:szCs w:val="24"/>
                <w:lang w:bidi="ar"/>
              </w:rPr>
              <w:t>清洁用水</w:t>
            </w:r>
          </w:p>
          <w:p>
            <w:pPr>
              <w:pStyle w:val="30"/>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本项目</w:t>
            </w:r>
            <w:r>
              <w:rPr>
                <w:rFonts w:hint="eastAsia" w:ascii="宋体" w:hAnsi="宋体" w:eastAsia="宋体" w:cs="宋体"/>
                <w:color w:val="auto"/>
                <w:sz w:val="24"/>
                <w:szCs w:val="24"/>
                <w:lang w:val="en-US" w:eastAsia="zh-CN"/>
              </w:rPr>
              <w:t>综合楼、医技楼、办公楼等</w:t>
            </w:r>
            <w:r>
              <w:rPr>
                <w:rFonts w:hint="eastAsia" w:ascii="宋体" w:hAnsi="宋体" w:eastAsia="宋体" w:cs="宋体"/>
                <w:color w:val="auto"/>
                <w:sz w:val="24"/>
                <w:szCs w:val="24"/>
                <w:lang w:val="en-US"/>
              </w:rPr>
              <w:t>建筑面积为</w:t>
            </w:r>
            <w:r>
              <w:rPr>
                <w:rFonts w:hint="eastAsia" w:ascii="宋体" w:hAnsi="宋体" w:eastAsia="宋体" w:cs="宋体"/>
                <w:color w:val="auto"/>
                <w:sz w:val="24"/>
                <w:szCs w:val="24"/>
                <w:lang w:val="en-US" w:eastAsia="zh-CN"/>
              </w:rPr>
              <w:t>5545.18m</w:t>
            </w:r>
            <w:r>
              <w:rPr>
                <w:rFonts w:hint="eastAsia" w:ascii="宋体" w:hAnsi="宋体" w:eastAsia="宋体" w:cs="宋体"/>
                <w:color w:val="auto"/>
                <w:sz w:val="24"/>
                <w:szCs w:val="24"/>
                <w:vertAlign w:val="superscript"/>
                <w:lang w:val="en-US" w:eastAsia="zh-CN"/>
              </w:rPr>
              <w:t>2</w:t>
            </w:r>
            <w:r>
              <w:rPr>
                <w:rFonts w:hint="eastAsia" w:ascii="宋体" w:hAnsi="宋体" w:eastAsia="宋体" w:cs="宋体"/>
                <w:color w:val="auto"/>
                <w:sz w:val="24"/>
                <w:szCs w:val="24"/>
                <w:lang w:val="en-US"/>
              </w:rPr>
              <w:t>，</w:t>
            </w:r>
            <w:r>
              <w:rPr>
                <w:rFonts w:hint="eastAsia" w:ascii="宋体" w:hAnsi="宋体" w:eastAsia="宋体" w:cs="宋体"/>
                <w:color w:val="auto"/>
                <w:kern w:val="0"/>
                <w:sz w:val="24"/>
                <w:szCs w:val="24"/>
                <w:lang w:bidi="ar"/>
              </w:rPr>
              <w:t>地面清洗采用拖把擦洗，用水量按</w:t>
            </w:r>
            <w:r>
              <w:rPr>
                <w:rFonts w:hint="eastAsia" w:ascii="宋体" w:hAnsi="宋体" w:eastAsia="宋体" w:cs="宋体"/>
                <w:color w:val="auto"/>
                <w:kern w:val="0"/>
                <w:sz w:val="24"/>
                <w:szCs w:val="24"/>
                <w:lang w:val="en-US" w:eastAsia="zh-CN" w:bidi="ar"/>
              </w:rPr>
              <w:t>0.2</w:t>
            </w:r>
            <w:r>
              <w:rPr>
                <w:rFonts w:hint="eastAsia" w:ascii="宋体" w:hAnsi="宋体" w:eastAsia="宋体" w:cs="宋体"/>
                <w:color w:val="auto"/>
                <w:kern w:val="0"/>
                <w:sz w:val="24"/>
                <w:szCs w:val="24"/>
                <w:lang w:bidi="ar"/>
              </w:rPr>
              <w:t>L/（m</w:t>
            </w:r>
            <w:r>
              <w:rPr>
                <w:rFonts w:hint="eastAsia" w:ascii="宋体" w:hAnsi="宋体" w:eastAsia="宋体" w:cs="宋体"/>
                <w:color w:val="auto"/>
                <w:kern w:val="0"/>
                <w:sz w:val="24"/>
                <w:szCs w:val="24"/>
                <w:vertAlign w:val="superscript"/>
                <w:lang w:bidi="ar"/>
              </w:rPr>
              <w:t>2</w:t>
            </w:r>
            <w:r>
              <w:rPr>
                <w:rFonts w:hint="eastAsia" w:ascii="宋体" w:hAnsi="宋体" w:eastAsia="宋体" w:cs="宋体"/>
                <w:color w:val="auto"/>
                <w:kern w:val="0"/>
                <w:sz w:val="24"/>
                <w:szCs w:val="24"/>
                <w:lang w:bidi="ar"/>
              </w:rPr>
              <w:t>·d），则用水量为</w:t>
            </w:r>
            <w:r>
              <w:rPr>
                <w:rFonts w:hint="eastAsia" w:ascii="宋体" w:hAnsi="宋体" w:eastAsia="宋体" w:cs="宋体"/>
                <w:color w:val="auto"/>
                <w:kern w:val="0"/>
                <w:sz w:val="24"/>
                <w:szCs w:val="24"/>
                <w:lang w:val="en-US" w:eastAsia="zh-CN" w:bidi="ar"/>
              </w:rPr>
              <w:t>1.109</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/d、</w:t>
            </w:r>
            <w:r>
              <w:rPr>
                <w:rFonts w:hint="eastAsia" w:ascii="宋体" w:hAnsi="宋体" w:eastAsia="宋体" w:cs="宋体"/>
                <w:color w:val="auto"/>
                <w:kern w:val="0"/>
                <w:sz w:val="24"/>
                <w:szCs w:val="24"/>
                <w:lang w:val="en-US" w:eastAsia="zh-CN" w:bidi="ar"/>
              </w:rPr>
              <w:t>404.785</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/a，产污系数按0.</w:t>
            </w:r>
            <w:r>
              <w:rPr>
                <w:rFonts w:hint="eastAsia" w:ascii="宋体" w:hAnsi="宋体" w:eastAsia="宋体" w:cs="宋体"/>
                <w:color w:val="auto"/>
                <w:kern w:val="0"/>
                <w:sz w:val="24"/>
                <w:szCs w:val="24"/>
                <w:lang w:val="en-US" w:eastAsia="zh-CN" w:bidi="ar"/>
              </w:rPr>
              <w:t>8</w:t>
            </w:r>
            <w:r>
              <w:rPr>
                <w:rFonts w:hint="eastAsia" w:ascii="宋体" w:hAnsi="宋体" w:eastAsia="宋体" w:cs="宋体"/>
                <w:color w:val="auto"/>
                <w:kern w:val="0"/>
                <w:sz w:val="24"/>
                <w:szCs w:val="24"/>
                <w:lang w:bidi="ar"/>
              </w:rPr>
              <w:t>计，则地面清洁废水量为</w:t>
            </w:r>
            <w:r>
              <w:rPr>
                <w:rFonts w:hint="eastAsia" w:ascii="宋体" w:hAnsi="宋体" w:eastAsia="宋体" w:cs="宋体"/>
                <w:color w:val="auto"/>
                <w:kern w:val="0"/>
                <w:sz w:val="24"/>
                <w:szCs w:val="24"/>
                <w:lang w:val="en-US" w:eastAsia="zh-CN" w:bidi="ar"/>
              </w:rPr>
              <w:t>0.89</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/d，</w:t>
            </w:r>
            <w:r>
              <w:rPr>
                <w:rFonts w:hint="eastAsia" w:ascii="宋体" w:hAnsi="宋体" w:eastAsia="宋体" w:cs="宋体"/>
                <w:color w:val="auto"/>
                <w:kern w:val="0"/>
                <w:sz w:val="24"/>
                <w:szCs w:val="24"/>
                <w:lang w:val="en-US" w:eastAsia="zh-CN" w:bidi="ar"/>
              </w:rPr>
              <w:t>324.85</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/a。</w:t>
            </w:r>
          </w:p>
          <w:p>
            <w:pPr>
              <w:pStyle w:val="28"/>
              <w:numPr>
                <w:ilvl w:val="0"/>
                <w:numId w:val="5"/>
              </w:numPr>
              <w:ind w:left="0"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浆洗房用水</w:t>
            </w:r>
          </w:p>
          <w:p>
            <w:pPr>
              <w:pStyle w:val="3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根据业主提供资料，项目洗衣用水量约每天0.5m³，</w:t>
            </w:r>
            <w:r>
              <w:rPr>
                <w:rFonts w:hint="eastAsia" w:ascii="宋体" w:hAnsi="宋体" w:eastAsia="宋体" w:cs="宋体"/>
                <w:color w:val="auto"/>
                <w:sz w:val="24"/>
                <w:szCs w:val="24"/>
                <w:lang w:val="en-US"/>
              </w:rPr>
              <w:t>产污系数按0.</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en-US"/>
              </w:rPr>
              <w:t>计</w:t>
            </w:r>
            <w:r>
              <w:rPr>
                <w:rFonts w:hint="eastAsia" w:ascii="宋体" w:hAnsi="宋体" w:eastAsia="宋体" w:cs="宋体"/>
                <w:color w:val="auto"/>
                <w:sz w:val="24"/>
                <w:szCs w:val="24"/>
                <w:lang w:val="en-US" w:eastAsia="zh-CN"/>
              </w:rPr>
              <w:t>，废水量为0.4m³/d，146m³/a。</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综上，本项目废水产生总量为</w:t>
            </w:r>
            <w:r>
              <w:rPr>
                <w:rFonts w:hint="eastAsia" w:ascii="宋体" w:hAnsi="宋体" w:eastAsia="宋体" w:cs="宋体"/>
                <w:color w:val="auto"/>
                <w:sz w:val="24"/>
                <w:szCs w:val="24"/>
                <w:lang w:val="en-US" w:eastAsia="zh-CN"/>
              </w:rPr>
              <w:t>7.602</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2774.73</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w:t>
            </w:r>
            <w:r>
              <w:rPr>
                <w:rFonts w:hint="eastAsia" w:ascii="宋体" w:hAnsi="宋体" w:eastAsia="宋体" w:cs="宋体"/>
                <w:color w:val="auto"/>
                <w:sz w:val="24"/>
                <w:szCs w:val="24"/>
                <w:lang w:eastAsia="zh-CN"/>
              </w:rPr>
              <w:t>废水</w:t>
            </w:r>
            <w:r>
              <w:rPr>
                <w:rFonts w:hint="eastAsia" w:ascii="宋体" w:hAnsi="宋体" w:eastAsia="宋体" w:cs="宋体"/>
                <w:color w:val="auto"/>
                <w:sz w:val="24"/>
                <w:szCs w:val="24"/>
              </w:rPr>
              <w:t>经化粪池预处理后进入污水处理站处理，处理达标后</w:t>
            </w:r>
            <w:r>
              <w:rPr>
                <w:rFonts w:hint="eastAsia" w:ascii="宋体" w:hAnsi="宋体" w:eastAsia="宋体" w:cs="宋体"/>
                <w:color w:val="auto"/>
                <w:sz w:val="24"/>
                <w:szCs w:val="24"/>
                <w:lang w:val="en-US" w:eastAsia="zh-CN"/>
              </w:rPr>
              <w:t>排入市政污水管网。</w:t>
            </w:r>
            <w:r>
              <w:rPr>
                <w:rFonts w:hint="eastAsia" w:ascii="宋体" w:hAnsi="宋体" w:cs="宋体"/>
                <w:color w:val="auto"/>
                <w:sz w:val="24"/>
                <w:szCs w:val="24"/>
                <w:lang w:val="en-US" w:eastAsia="zh-CN"/>
              </w:rPr>
              <w:t>勐海县污水处理厂处理达标后</w:t>
            </w:r>
            <w:r>
              <w:rPr>
                <w:rFonts w:hint="eastAsia" w:ascii="宋体" w:hAnsi="宋体" w:eastAsia="宋体" w:cs="宋体"/>
                <w:b w:val="0"/>
                <w:bCs w:val="0"/>
                <w:color w:val="auto"/>
                <w:kern w:val="0"/>
                <w:sz w:val="24"/>
                <w:szCs w:val="24"/>
                <w:lang w:bidi="ar"/>
              </w:rPr>
              <w:t>排入</w:t>
            </w:r>
            <w:r>
              <w:rPr>
                <w:rFonts w:hint="eastAsia" w:ascii="宋体" w:hAnsi="宋体" w:eastAsia="宋体" w:cs="宋体"/>
                <w:b w:val="0"/>
                <w:bCs w:val="0"/>
                <w:color w:val="auto"/>
                <w:kern w:val="0"/>
                <w:sz w:val="24"/>
                <w:szCs w:val="24"/>
                <w:lang w:val="en-US" w:eastAsia="zh-CN" w:bidi="ar"/>
              </w:rPr>
              <w:t>流沙河</w:t>
            </w:r>
            <w:r>
              <w:rPr>
                <w:rFonts w:hint="eastAsia" w:ascii="宋体" w:hAnsi="宋体" w:cs="宋体"/>
                <w:b w:val="0"/>
                <w:bCs w:val="0"/>
                <w:color w:val="auto"/>
                <w:kern w:val="0"/>
                <w:sz w:val="24"/>
                <w:szCs w:val="24"/>
                <w:lang w:val="en-US" w:eastAsia="zh-CN" w:bidi="ar"/>
              </w:rPr>
              <w:t>。</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全院用水、废水产生量情况见表2-</w:t>
            </w:r>
            <w:r>
              <w:rPr>
                <w:rFonts w:hint="eastAsia" w:ascii="宋体" w:hAnsi="宋体" w:cs="宋体"/>
                <w:color w:val="auto"/>
                <w:kern w:val="0"/>
                <w:sz w:val="24"/>
                <w:szCs w:val="24"/>
                <w:lang w:val="en-US" w:eastAsia="zh-CN"/>
              </w:rPr>
              <w:t>6</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水量平衡图见图2-1。</w:t>
            </w:r>
          </w:p>
          <w:p>
            <w:pPr>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表2-</w:t>
            </w:r>
            <w:r>
              <w:rPr>
                <w:rFonts w:hint="eastAsia" w:ascii="黑体" w:hAnsi="黑体" w:eastAsia="黑体" w:cs="黑体"/>
                <w:b w:val="0"/>
                <w:bCs/>
                <w:color w:val="auto"/>
                <w:sz w:val="21"/>
                <w:szCs w:val="21"/>
                <w:lang w:val="en-US" w:eastAsia="zh-CN"/>
              </w:rPr>
              <w:t>6</w:t>
            </w:r>
            <w:r>
              <w:rPr>
                <w:rFonts w:hint="eastAsia" w:ascii="黑体" w:hAnsi="黑体" w:eastAsia="黑体" w:cs="黑体"/>
                <w:b w:val="0"/>
                <w:bCs/>
                <w:color w:val="auto"/>
                <w:sz w:val="21"/>
                <w:szCs w:val="21"/>
              </w:rPr>
              <w:t xml:space="preserve">  项目用水及污水产生情况一览表</w:t>
            </w:r>
          </w:p>
          <w:tbl>
            <w:tblPr>
              <w:tblStyle w:val="26"/>
              <w:tblW w:w="80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825"/>
              <w:gridCol w:w="1005"/>
              <w:gridCol w:w="920"/>
              <w:gridCol w:w="772"/>
              <w:gridCol w:w="674"/>
              <w:gridCol w:w="698"/>
              <w:gridCol w:w="780"/>
              <w:gridCol w:w="1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jc w:val="center"/>
              </w:trPr>
              <w:tc>
                <w:tcPr>
                  <w:tcW w:w="525" w:type="dxa"/>
                  <w:vMerge w:val="restart"/>
                  <w:tcBorders>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用水名称</w:t>
                  </w:r>
                </w:p>
              </w:tc>
              <w:tc>
                <w:tcPr>
                  <w:tcW w:w="825"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规模</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用水定额</w:t>
                  </w:r>
                </w:p>
              </w:tc>
              <w:tc>
                <w:tcPr>
                  <w:tcW w:w="920"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用水天数（d）</w:t>
                  </w:r>
                </w:p>
              </w:tc>
              <w:tc>
                <w:tcPr>
                  <w:tcW w:w="772"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用水量</w:t>
                  </w:r>
                </w:p>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/d)</w:t>
                  </w:r>
                </w:p>
              </w:tc>
              <w:tc>
                <w:tcPr>
                  <w:tcW w:w="674"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产污系数</w:t>
                  </w:r>
                </w:p>
              </w:tc>
              <w:tc>
                <w:tcPr>
                  <w:tcW w:w="1478" w:type="dxa"/>
                  <w:gridSpan w:val="2"/>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污水排放量</w:t>
                  </w:r>
                </w:p>
              </w:tc>
              <w:tc>
                <w:tcPr>
                  <w:tcW w:w="1834"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处置方式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5" w:hRule="atLeast"/>
                <w:jc w:val="center"/>
              </w:trPr>
              <w:tc>
                <w:tcPr>
                  <w:tcW w:w="525" w:type="dxa"/>
                  <w:vMerge w:val="continue"/>
                  <w:tcBorders>
                    <w:top w:val="nil"/>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p>
              </w:tc>
              <w:tc>
                <w:tcPr>
                  <w:tcW w:w="825" w:type="dxa"/>
                  <w:vMerge w:val="continue"/>
                  <w:tcBorders>
                    <w:top w:val="nil"/>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p>
              </w:tc>
              <w:tc>
                <w:tcPr>
                  <w:tcW w:w="1005" w:type="dxa"/>
                  <w:vMerge w:val="continue"/>
                  <w:tcBorders>
                    <w:top w:val="nil"/>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p>
              </w:tc>
              <w:tc>
                <w:tcPr>
                  <w:tcW w:w="920" w:type="dxa"/>
                  <w:vMerge w:val="continue"/>
                  <w:tcBorders>
                    <w:top w:val="nil"/>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p>
              </w:tc>
              <w:tc>
                <w:tcPr>
                  <w:tcW w:w="772" w:type="dxa"/>
                  <w:vMerge w:val="continue"/>
                  <w:tcBorders>
                    <w:top w:val="nil"/>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p>
              </w:tc>
              <w:tc>
                <w:tcPr>
                  <w:tcW w:w="674" w:type="dxa"/>
                  <w:vMerge w:val="continue"/>
                  <w:tcBorders>
                    <w:top w:val="nil"/>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/d</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/a</w:t>
                  </w:r>
                </w:p>
              </w:tc>
              <w:tc>
                <w:tcPr>
                  <w:tcW w:w="1834" w:type="dxa"/>
                  <w:vMerge w:val="continue"/>
                  <w:tcBorders>
                    <w:top w:val="nil"/>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4"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门诊</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100</w:t>
                  </w:r>
                  <w:r>
                    <w:rPr>
                      <w:rFonts w:hint="eastAsia" w:ascii="宋体" w:hAnsi="宋体" w:eastAsia="宋体" w:cs="宋体"/>
                      <w:color w:val="auto"/>
                      <w:sz w:val="18"/>
                      <w:szCs w:val="18"/>
                    </w:rPr>
                    <w:t>人次/d</w:t>
                  </w: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15L/人·d</w:t>
                  </w: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365</w:t>
                  </w: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0.8</w:t>
                  </w: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1.2</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438</w:t>
                  </w:r>
                </w:p>
              </w:tc>
              <w:tc>
                <w:tcPr>
                  <w:tcW w:w="1834"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经化粪池预处理后，进入卫生院</w:t>
                  </w:r>
                  <w:r>
                    <w:rPr>
                      <w:rFonts w:hint="eastAsia" w:ascii="宋体" w:hAnsi="宋体" w:cs="宋体"/>
                      <w:color w:val="auto"/>
                      <w:sz w:val="18"/>
                      <w:szCs w:val="18"/>
                      <w:lang w:val="en-US" w:eastAsia="zh-CN"/>
                    </w:rPr>
                    <w:t>10m³/d</w:t>
                  </w:r>
                  <w:r>
                    <w:rPr>
                      <w:rFonts w:hint="eastAsia" w:ascii="宋体" w:hAnsi="宋体" w:eastAsia="宋体" w:cs="宋体"/>
                      <w:color w:val="auto"/>
                      <w:sz w:val="18"/>
                      <w:szCs w:val="18"/>
                    </w:rPr>
                    <w:t>一体化污水处理站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病房</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床</w:t>
                  </w: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150L/床位·</w:t>
                  </w:r>
                  <w:r>
                    <w:rPr>
                      <w:rFonts w:hint="eastAsia" w:ascii="宋体" w:hAnsi="宋体" w:eastAsia="宋体" w:cs="宋体"/>
                      <w:color w:val="auto"/>
                      <w:sz w:val="18"/>
                      <w:szCs w:val="18"/>
                    </w:rPr>
                    <w:cr/>
                  </w: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365</w:t>
                  </w: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w:t>
                  </w:r>
                  <w:r>
                    <w:rPr>
                      <w:rFonts w:hint="eastAsia" w:ascii="宋体" w:hAnsi="宋体" w:eastAsia="宋体" w:cs="宋体"/>
                      <w:color w:val="auto"/>
                      <w:sz w:val="18"/>
                      <w:szCs w:val="18"/>
                      <w:lang w:val="en-US" w:eastAsia="zh-CN"/>
                    </w:rPr>
                    <w:t>.3</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0.8</w:t>
                  </w: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w:t>
                  </w:r>
                  <w:r>
                    <w:rPr>
                      <w:rFonts w:hint="eastAsia" w:ascii="宋体" w:hAnsi="宋体" w:eastAsia="宋体" w:cs="宋体"/>
                      <w:color w:val="auto"/>
                      <w:sz w:val="18"/>
                      <w:szCs w:val="18"/>
                      <w:lang w:val="en-US" w:eastAsia="zh-CN"/>
                    </w:rPr>
                    <w:t>64</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963.6</w:t>
                  </w:r>
                </w:p>
              </w:tc>
              <w:tc>
                <w:tcPr>
                  <w:tcW w:w="1834" w:type="dxa"/>
                  <w:vMerge w:val="continue"/>
                  <w:tcBorders>
                    <w:top w:val="nil"/>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2"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检验室</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20</w:t>
                  </w:r>
                  <w:r>
                    <w:rPr>
                      <w:rFonts w:hint="eastAsia" w:ascii="宋体" w:hAnsi="宋体" w:eastAsia="宋体" w:cs="宋体"/>
                      <w:color w:val="auto"/>
                      <w:sz w:val="18"/>
                      <w:szCs w:val="18"/>
                    </w:rPr>
                    <w:t>人</w:t>
                  </w: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5L/人·d</w:t>
                  </w: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365</w:t>
                  </w: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0.1</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0.8</w:t>
                  </w: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0.08</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29.5</w:t>
                  </w:r>
                </w:p>
              </w:tc>
              <w:tc>
                <w:tcPr>
                  <w:tcW w:w="18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检验科废水由1个0.</w:t>
                  </w:r>
                  <w:r>
                    <w:rPr>
                      <w:rFonts w:hint="eastAsia" w:ascii="宋体" w:hAnsi="宋体" w:eastAsia="宋体" w:cs="宋体"/>
                      <w:color w:val="auto"/>
                      <w:kern w:val="0"/>
                      <w:sz w:val="18"/>
                      <w:szCs w:val="18"/>
                      <w:lang w:val="en-US" w:eastAsia="zh-CN" w:bidi="ar"/>
                    </w:rPr>
                    <w:t>1</w:t>
                  </w:r>
                  <w:r>
                    <w:rPr>
                      <w:rFonts w:hint="eastAsia" w:ascii="宋体" w:hAnsi="宋体" w:eastAsia="宋体" w:cs="宋体"/>
                      <w:color w:val="auto"/>
                      <w:kern w:val="0"/>
                      <w:sz w:val="18"/>
                      <w:szCs w:val="18"/>
                      <w:lang w:bidi="ar"/>
                    </w:rPr>
                    <w:t>m</w:t>
                  </w:r>
                  <w:r>
                    <w:rPr>
                      <w:rFonts w:hint="eastAsia" w:ascii="宋体" w:hAnsi="宋体" w:eastAsia="宋体" w:cs="宋体"/>
                      <w:color w:val="auto"/>
                      <w:kern w:val="0"/>
                      <w:sz w:val="18"/>
                      <w:szCs w:val="18"/>
                      <w:vertAlign w:val="superscript"/>
                      <w:lang w:bidi="ar"/>
                    </w:rPr>
                    <w:t>3</w:t>
                  </w:r>
                  <w:r>
                    <w:rPr>
                      <w:rFonts w:hint="eastAsia" w:ascii="宋体" w:hAnsi="宋体" w:eastAsia="宋体" w:cs="宋体"/>
                      <w:color w:val="auto"/>
                      <w:kern w:val="0"/>
                      <w:sz w:val="18"/>
                      <w:szCs w:val="18"/>
                      <w:lang w:bidi="ar"/>
                    </w:rPr>
                    <w:t>的收集桶收集并加酸碱中和、消毒后进入</w:t>
                  </w:r>
                  <w:r>
                    <w:rPr>
                      <w:rFonts w:hint="eastAsia" w:ascii="宋体" w:hAnsi="宋体" w:eastAsia="宋体" w:cs="宋体"/>
                      <w:color w:val="auto"/>
                      <w:sz w:val="18"/>
                      <w:szCs w:val="18"/>
                    </w:rPr>
                    <w:t>化粪池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手术室</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每周1次</w:t>
                  </w: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1m</w:t>
                  </w:r>
                  <w:r>
                    <w:rPr>
                      <w:rFonts w:hint="eastAsia" w:ascii="宋体" w:hAnsi="宋体" w:eastAsia="宋体" w:cs="宋体"/>
                      <w:color w:val="auto"/>
                      <w:kern w:val="0"/>
                      <w:sz w:val="18"/>
                      <w:szCs w:val="18"/>
                      <w:vertAlign w:val="superscript"/>
                      <w:lang w:bidi="ar"/>
                    </w:rPr>
                    <w:t>3</w:t>
                  </w:r>
                  <w:r>
                    <w:rPr>
                      <w:rFonts w:hint="eastAsia" w:ascii="宋体" w:hAnsi="宋体" w:eastAsia="宋体" w:cs="宋体"/>
                      <w:color w:val="auto"/>
                      <w:kern w:val="0"/>
                      <w:sz w:val="18"/>
                      <w:szCs w:val="18"/>
                      <w:lang w:bidi="ar"/>
                    </w:rPr>
                    <w:t>/次</w:t>
                  </w: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52</w:t>
                  </w: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0.14</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0.8</w:t>
                  </w: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0.11</w:t>
                  </w:r>
                  <w:r>
                    <w:rPr>
                      <w:rFonts w:hint="eastAsia" w:ascii="宋体" w:hAnsi="宋体" w:eastAsia="宋体" w:cs="宋体"/>
                      <w:color w:val="auto"/>
                      <w:sz w:val="18"/>
                      <w:szCs w:val="18"/>
                      <w:lang w:val="en-US" w:eastAsia="zh-CN"/>
                    </w:rPr>
                    <w:t>2</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40.88</w:t>
                  </w:r>
                </w:p>
              </w:tc>
              <w:tc>
                <w:tcPr>
                  <w:tcW w:w="18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kern w:val="0"/>
                      <w:sz w:val="18"/>
                      <w:szCs w:val="18"/>
                      <w:lang w:bidi="ar"/>
                    </w:rPr>
                  </w:pPr>
                  <w:r>
                    <w:rPr>
                      <w:rFonts w:hint="eastAsia" w:ascii="宋体" w:hAnsi="宋体" w:eastAsia="宋体" w:cs="宋体"/>
                      <w:color w:val="auto"/>
                      <w:sz w:val="18"/>
                      <w:szCs w:val="18"/>
                    </w:rPr>
                    <w:t>经化粪池预处理后，进入卫生院一体化污水处理站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煎药</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rPr>
                    <w:t>副/天</w:t>
                  </w: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kern w:val="0"/>
                      <w:sz w:val="18"/>
                      <w:szCs w:val="18"/>
                      <w:lang w:bidi="ar"/>
                    </w:rPr>
                  </w:pPr>
                  <w:r>
                    <w:rPr>
                      <w:rFonts w:hint="eastAsia" w:ascii="宋体" w:hAnsi="宋体" w:eastAsia="宋体" w:cs="宋体"/>
                      <w:color w:val="auto"/>
                      <w:sz w:val="18"/>
                      <w:szCs w:val="18"/>
                    </w:rPr>
                    <w:t>0.005m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/副</w:t>
                  </w: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365</w:t>
                  </w: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0.0</w:t>
                  </w:r>
                  <w:r>
                    <w:rPr>
                      <w:rFonts w:hint="eastAsia" w:ascii="宋体" w:hAnsi="宋体" w:eastAsia="宋体" w:cs="宋体"/>
                      <w:color w:val="auto"/>
                      <w:sz w:val="18"/>
                      <w:szCs w:val="18"/>
                      <w:lang w:val="en-US" w:eastAsia="zh-CN"/>
                    </w:rPr>
                    <w:t>25</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w:t>
                  </w: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w:t>
                  </w:r>
                </w:p>
              </w:tc>
              <w:tc>
                <w:tcPr>
                  <w:tcW w:w="18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煎药设备清洗</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rPr>
                    <w:t>次/天</w:t>
                  </w: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kern w:val="0"/>
                      <w:sz w:val="18"/>
                      <w:szCs w:val="18"/>
                      <w:lang w:bidi="ar"/>
                    </w:rPr>
                  </w:pPr>
                  <w:r>
                    <w:rPr>
                      <w:rFonts w:hint="eastAsia" w:ascii="宋体" w:hAnsi="宋体" w:eastAsia="宋体" w:cs="宋体"/>
                      <w:color w:val="auto"/>
                      <w:sz w:val="18"/>
                      <w:szCs w:val="18"/>
                    </w:rPr>
                    <w:t>0.02m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/次</w:t>
                  </w: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365</w:t>
                  </w: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0.</w:t>
                  </w:r>
                  <w:r>
                    <w:rPr>
                      <w:rFonts w:hint="eastAsia" w:ascii="宋体" w:hAnsi="宋体" w:eastAsia="宋体" w:cs="宋体"/>
                      <w:color w:val="auto"/>
                      <w:sz w:val="18"/>
                      <w:szCs w:val="18"/>
                      <w:lang w:val="en-US" w:eastAsia="zh-CN"/>
                    </w:rPr>
                    <w:t>1</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0.8</w:t>
                  </w: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0.08</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29.2</w:t>
                  </w:r>
                </w:p>
              </w:tc>
              <w:tc>
                <w:tcPr>
                  <w:tcW w:w="1834" w:type="dxa"/>
                  <w:vMerge w:val="restart"/>
                  <w:tcBorders>
                    <w:top w:val="single" w:color="000000" w:sz="6" w:space="0"/>
                    <w:left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经化粪池预处理后，进入卫生院一体化污水处理站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熏蒸</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5人次/天</w:t>
                  </w: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150L/人·d</w:t>
                  </w: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365</w:t>
                  </w: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0.75</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0.8</w:t>
                  </w:r>
                  <w:r>
                    <w:rPr>
                      <w:rFonts w:hint="eastAsia" w:ascii="宋体" w:hAnsi="宋体" w:eastAsia="宋体" w:cs="宋体"/>
                      <w:color w:val="auto"/>
                      <w:sz w:val="18"/>
                      <w:szCs w:val="18"/>
                      <w:lang w:val="en-US" w:eastAsia="zh-CN"/>
                    </w:rPr>
                    <w:t>0</w:t>
                  </w: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0.6</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219</w:t>
                  </w:r>
                </w:p>
              </w:tc>
              <w:tc>
                <w:tcPr>
                  <w:tcW w:w="1834" w:type="dxa"/>
                  <w:vMerge w:val="continue"/>
                  <w:tcBorders>
                    <w:left w:val="single" w:color="000000" w:sz="6" w:space="0"/>
                    <w:right w:val="single" w:color="000000" w:sz="6" w:space="0"/>
                  </w:tcBorders>
                  <w:vAlign w:val="center"/>
                </w:tcPr>
                <w:p>
                  <w:pPr>
                    <w:adjustRightInd w:val="0"/>
                    <w:snapToGrid w:val="0"/>
                    <w:jc w:val="center"/>
                    <w:rPr>
                      <w:rFonts w:hint="eastAsia" w:ascii="宋体" w:hAnsi="宋体" w:eastAsia="宋体" w:cs="宋体"/>
                      <w:color w:val="auto"/>
                      <w:kern w:val="0"/>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地面清洁</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highlight w:val="yellow"/>
                      <w:vertAlign w:val="superscript"/>
                    </w:rPr>
                  </w:pPr>
                  <w:r>
                    <w:rPr>
                      <w:rFonts w:hint="eastAsia" w:ascii="宋体" w:hAnsi="宋体" w:eastAsia="宋体" w:cs="宋体"/>
                      <w:color w:val="auto"/>
                      <w:sz w:val="18"/>
                      <w:szCs w:val="18"/>
                      <w:lang w:val="en-US" w:eastAsia="zh-CN"/>
                    </w:rPr>
                    <w:t>5545.18</w:t>
                  </w:r>
                  <w:r>
                    <w:rPr>
                      <w:rFonts w:hint="eastAsia" w:ascii="宋体" w:hAnsi="宋体" w:eastAsia="宋体" w:cs="宋体"/>
                      <w:color w:val="auto"/>
                      <w:kern w:val="0"/>
                      <w:sz w:val="18"/>
                      <w:szCs w:val="18"/>
                      <w:lang w:bidi="ar"/>
                    </w:rPr>
                    <w:t>m</w:t>
                  </w:r>
                  <w:r>
                    <w:rPr>
                      <w:rFonts w:hint="eastAsia" w:ascii="宋体" w:hAnsi="宋体" w:eastAsia="宋体" w:cs="宋体"/>
                      <w:color w:val="auto"/>
                      <w:kern w:val="0"/>
                      <w:sz w:val="18"/>
                      <w:szCs w:val="18"/>
                      <w:vertAlign w:val="superscript"/>
                      <w:lang w:bidi="ar"/>
                    </w:rPr>
                    <w:t>2</w:t>
                  </w: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0.2</w:t>
                  </w:r>
                  <w:r>
                    <w:rPr>
                      <w:rFonts w:hint="eastAsia" w:ascii="宋体" w:hAnsi="宋体" w:eastAsia="宋体" w:cs="宋体"/>
                      <w:color w:val="auto"/>
                      <w:sz w:val="18"/>
                      <w:szCs w:val="18"/>
                    </w:rPr>
                    <w:t>L/m</w:t>
                  </w:r>
                  <w:r>
                    <w:rPr>
                      <w:rFonts w:hint="eastAsia" w:ascii="宋体" w:hAnsi="宋体" w:eastAsia="宋体" w:cs="宋体"/>
                      <w:color w:val="auto"/>
                      <w:sz w:val="18"/>
                      <w:szCs w:val="18"/>
                      <w:vertAlign w:val="superscript"/>
                    </w:rPr>
                    <w:t>2</w:t>
                  </w:r>
                  <w:r>
                    <w:rPr>
                      <w:rFonts w:hint="eastAsia" w:ascii="宋体" w:hAnsi="宋体" w:eastAsia="宋体" w:cs="宋体"/>
                      <w:color w:val="auto"/>
                      <w:sz w:val="18"/>
                      <w:szCs w:val="18"/>
                    </w:rPr>
                    <w:t>·d</w:t>
                  </w: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365</w:t>
                  </w: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1.109</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highlight w:val="yellow"/>
                      <w:lang w:eastAsia="zh-CN"/>
                    </w:rPr>
                  </w:pPr>
                  <w:r>
                    <w:rPr>
                      <w:rFonts w:hint="eastAsia" w:ascii="宋体" w:hAnsi="宋体" w:eastAsia="宋体" w:cs="宋体"/>
                      <w:color w:val="auto"/>
                      <w:sz w:val="18"/>
                      <w:szCs w:val="18"/>
                    </w:rPr>
                    <w:t>0.</w:t>
                  </w:r>
                  <w:r>
                    <w:rPr>
                      <w:rFonts w:hint="eastAsia" w:ascii="宋体" w:hAnsi="宋体" w:eastAsia="宋体" w:cs="宋体"/>
                      <w:color w:val="auto"/>
                      <w:sz w:val="18"/>
                      <w:szCs w:val="18"/>
                      <w:lang w:val="en-US" w:eastAsia="zh-CN"/>
                    </w:rPr>
                    <w:t>8</w:t>
                  </w: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0.89</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324.85</w:t>
                  </w:r>
                </w:p>
              </w:tc>
              <w:tc>
                <w:tcPr>
                  <w:tcW w:w="1834" w:type="dxa"/>
                  <w:vMerge w:val="continue"/>
                  <w:tcBorders>
                    <w:left w:val="single" w:color="000000" w:sz="6" w:space="0"/>
                    <w:right w:val="single" w:color="000000" w:sz="6" w:space="0"/>
                  </w:tcBorders>
                  <w:vAlign w:val="center"/>
                </w:tcPr>
                <w:p>
                  <w:pPr>
                    <w:adjustRightInd w:val="0"/>
                    <w:snapToGrid w:val="0"/>
                    <w:jc w:val="center"/>
                    <w:rPr>
                      <w:rFonts w:hint="eastAsia" w:ascii="宋体" w:hAnsi="宋体" w:eastAsia="宋体" w:cs="宋体"/>
                      <w:color w:val="auto"/>
                      <w:kern w:val="0"/>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医护职工生活</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w:t>
                  </w: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100L/人·d</w:t>
                  </w: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365</w:t>
                  </w: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2</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0.8</w:t>
                  </w: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1</w:t>
                  </w:r>
                  <w:r>
                    <w:rPr>
                      <w:rFonts w:hint="eastAsia" w:ascii="宋体" w:hAnsi="宋体" w:eastAsia="宋体" w:cs="宋体"/>
                      <w:color w:val="auto"/>
                      <w:sz w:val="18"/>
                      <w:szCs w:val="18"/>
                      <w:lang w:val="en-US" w:eastAsia="zh-CN"/>
                    </w:rPr>
                    <w:t>.6</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584</w:t>
                  </w:r>
                </w:p>
              </w:tc>
              <w:tc>
                <w:tcPr>
                  <w:tcW w:w="1834" w:type="dxa"/>
                  <w:vMerge w:val="continue"/>
                  <w:tcBorders>
                    <w:left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浆洗房</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0.5m³/d</w:t>
                  </w: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365</w:t>
                  </w: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0.5</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0.8</w:t>
                  </w: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0.4</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146</w:t>
                  </w:r>
                </w:p>
              </w:tc>
              <w:tc>
                <w:tcPr>
                  <w:tcW w:w="1834" w:type="dxa"/>
                  <w:vMerge w:val="continue"/>
                  <w:tcBorders>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kern w:val="0"/>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7" w:hRule="atLeast"/>
                <w:jc w:val="center"/>
              </w:trPr>
              <w:tc>
                <w:tcPr>
                  <w:tcW w:w="5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82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p>
              </w:tc>
              <w:tc>
                <w:tcPr>
                  <w:tcW w:w="100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p>
              </w:tc>
              <w:tc>
                <w:tcPr>
                  <w:tcW w:w="9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p>
              </w:tc>
              <w:tc>
                <w:tcPr>
                  <w:tcW w:w="7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9.524</w:t>
                  </w:r>
                </w:p>
              </w:tc>
              <w:tc>
                <w:tcPr>
                  <w:tcW w:w="67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p>
              </w:tc>
              <w:tc>
                <w:tcPr>
                  <w:tcW w:w="69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7.6</w:t>
                  </w:r>
                  <w:r>
                    <w:rPr>
                      <w:rFonts w:hint="eastAsia" w:ascii="宋体" w:hAnsi="宋体" w:eastAsia="宋体" w:cs="宋体"/>
                      <w:color w:val="auto"/>
                      <w:sz w:val="18"/>
                      <w:szCs w:val="18"/>
                      <w:lang w:val="en-US" w:eastAsia="zh-CN"/>
                    </w:rPr>
                    <w:t>02</w:t>
                  </w:r>
                </w:p>
              </w:tc>
              <w:tc>
                <w:tcPr>
                  <w:tcW w:w="78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277</w:t>
                  </w:r>
                  <w:r>
                    <w:rPr>
                      <w:rFonts w:hint="eastAsia" w:ascii="宋体" w:hAnsi="宋体" w:eastAsia="宋体" w:cs="宋体"/>
                      <w:color w:val="auto"/>
                      <w:sz w:val="18"/>
                      <w:szCs w:val="18"/>
                      <w:lang w:val="en-US" w:eastAsia="zh-CN"/>
                    </w:rPr>
                    <w:t>4.73</w:t>
                  </w:r>
                </w:p>
              </w:tc>
              <w:tc>
                <w:tcPr>
                  <w:tcW w:w="18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r>
          </w:tbl>
          <w:p>
            <w:pPr>
              <w:pStyle w:val="16"/>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5041900" cy="4822825"/>
                  <wp:effectExtent l="0" t="0" r="6350" b="15875"/>
                  <wp:docPr id="4" name="图片 4" descr="169820099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8200995051"/>
                          <pic:cNvPicPr>
                            <a:picLocks noChangeAspect="1"/>
                          </pic:cNvPicPr>
                        </pic:nvPicPr>
                        <pic:blipFill>
                          <a:blip r:embed="rId9"/>
                          <a:stretch>
                            <a:fillRect/>
                          </a:stretch>
                        </pic:blipFill>
                        <pic:spPr>
                          <a:xfrm>
                            <a:off x="0" y="0"/>
                            <a:ext cx="5041900" cy="4822825"/>
                          </a:xfrm>
                          <a:prstGeom prst="rect">
                            <a:avLst/>
                          </a:prstGeom>
                        </pic:spPr>
                      </pic:pic>
                    </a:graphicData>
                  </a:graphic>
                </wp:inline>
              </w:drawing>
            </w:r>
            <w:r>
              <w:rPr>
                <w:rFonts w:hint="eastAsia" w:ascii="宋体" w:hAnsi="宋体" w:eastAsia="宋体" w:cs="宋体"/>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695960</wp:posOffset>
                      </wp:positionH>
                      <wp:positionV relativeFrom="paragraph">
                        <wp:posOffset>110490</wp:posOffset>
                      </wp:positionV>
                      <wp:extent cx="424815" cy="260985"/>
                      <wp:effectExtent l="0" t="0" r="0" b="0"/>
                      <wp:wrapNone/>
                      <wp:docPr id="201" name="矩形 201"/>
                      <wp:cNvGraphicFramePr/>
                      <a:graphic xmlns:a="http://schemas.openxmlformats.org/drawingml/2006/main">
                        <a:graphicData uri="http://schemas.microsoft.com/office/word/2010/wordprocessingShape">
                          <wps:wsp>
                            <wps:cNvSpPr/>
                            <wps:spPr>
                              <a:xfrm>
                                <a:off x="0" y="0"/>
                                <a:ext cx="424815" cy="260985"/>
                              </a:xfrm>
                              <a:prstGeom prst="rect">
                                <a:avLst/>
                              </a:prstGeom>
                              <a:noFill/>
                              <a:ln>
                                <a:noFill/>
                              </a:ln>
                            </wps:spPr>
                            <wps:txbx>
                              <w:txbxContent>
                                <w:p>
                                  <w:pPr>
                                    <w:rPr>
                                      <w:rFonts w:hint="default"/>
                                      <w:lang w:val="en-US" w:eastAsia="zh-CN"/>
                                    </w:rPr>
                                  </w:pPr>
                                </w:p>
                              </w:txbxContent>
                            </wps:txbx>
                            <wps:bodyPr upright="1"/>
                          </wps:wsp>
                        </a:graphicData>
                      </a:graphic>
                    </wp:anchor>
                  </w:drawing>
                </mc:Choice>
                <mc:Fallback>
                  <w:pict>
                    <v:rect id="_x0000_s1026" o:spid="_x0000_s1026" o:spt="1" style="position:absolute;left:0pt;margin-left:54.8pt;margin-top:8.7pt;height:20.55pt;width:33.45pt;z-index:251660288;mso-width-relative:page;mso-height-relative:page;" filled="f" stroked="f" coordsize="21600,21600" o:gfxdata="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bBficNoAAAAJAQAADwAAAAAAAAABACAAAAAiAAAAZHJzL2Rvd25yZXYueG1s&#10;UEsBAhQAFAAAAAgAh07iQM/AjVmEAQAA9gIAAA4AAAAAAAAAAQAgAAAAKQEAAGRycy9lMm9Eb2Mu&#10;eG1sUEsFBgAAAAAGAAYAWQEAAB8FAAAAAA==&#10;">
                      <v:fill on="f" focussize="0,0"/>
                      <v:stroke on="f"/>
                      <v:imagedata o:title=""/>
                      <o:lock v:ext="edit" aspectratio="f"/>
                      <v:textbox>
                        <w:txbxContent>
                          <w:p>
                            <w:pPr>
                              <w:rPr>
                                <w:rFonts w:hint="default"/>
                                <w:lang w:val="en-US" w:eastAsia="zh-CN"/>
                              </w:rPr>
                            </w:pPr>
                          </w:p>
                        </w:txbxContent>
                      </v:textbox>
                    </v:rect>
                  </w:pict>
                </mc:Fallback>
              </mc:AlternateContent>
            </w:r>
          </w:p>
          <w:p>
            <w:pPr>
              <w:pStyle w:val="31"/>
              <w:rPr>
                <w:rFonts w:hint="eastAsia" w:ascii="宋体" w:hAnsi="宋体" w:eastAsia="宋体" w:cs="宋体"/>
                <w:color w:val="auto"/>
                <w:sz w:val="24"/>
                <w:szCs w:val="24"/>
                <w:lang w:eastAsia="zh-CN"/>
              </w:rPr>
            </w:pPr>
          </w:p>
          <w:p>
            <w:pPr>
              <w:keepNext/>
              <w:keepLines/>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
                <w:bCs/>
                <w:color w:val="auto"/>
                <w:sz w:val="24"/>
                <w:szCs w:val="24"/>
              </w:rPr>
              <w:t>图</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 xml:space="preserve">  项目用排水平衡图（单位：</w:t>
            </w:r>
            <w:r>
              <w:rPr>
                <w:rFonts w:hint="eastAsia" w:ascii="宋体" w:hAnsi="宋体" w:eastAsia="宋体" w:cs="宋体"/>
                <w:b/>
                <w:bCs/>
                <w:color w:val="auto"/>
                <w:sz w:val="24"/>
                <w:szCs w:val="24"/>
                <w:lang w:eastAsia="zh-CN"/>
              </w:rPr>
              <w:t>m³</w:t>
            </w:r>
            <w:r>
              <w:rPr>
                <w:rFonts w:hint="eastAsia" w:ascii="宋体" w:hAnsi="宋体" w:eastAsia="宋体" w:cs="宋体"/>
                <w:b/>
                <w:bCs/>
                <w:color w:val="auto"/>
                <w:sz w:val="24"/>
                <w:szCs w:val="24"/>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1" w:hRule="atLeast"/>
          <w:jc w:val="center"/>
        </w:trPr>
        <w:tc>
          <w:tcPr>
            <w:tcW w:w="823" w:type="dxa"/>
            <w:vAlign w:val="center"/>
          </w:tcPr>
          <w:p>
            <w:pPr>
              <w:pStyle w:val="21"/>
              <w:adjustRightInd w:val="0"/>
              <w:snapToGrid w:val="0"/>
              <w:spacing w:before="0" w:beforeAutospacing="0" w:after="0" w:afterAutospacing="0" w:line="360" w:lineRule="auto"/>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t>工艺流程和产排污环节</w:t>
            </w:r>
          </w:p>
        </w:tc>
        <w:tc>
          <w:tcPr>
            <w:tcW w:w="8161" w:type="dxa"/>
            <w:vAlign w:val="top"/>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 xml:space="preserve">2.3 </w:t>
            </w:r>
            <w:r>
              <w:rPr>
                <w:rFonts w:hint="eastAsia" w:ascii="宋体" w:hAnsi="宋体" w:eastAsia="宋体" w:cs="宋体"/>
                <w:b/>
                <w:bCs/>
                <w:color w:val="auto"/>
                <w:sz w:val="24"/>
                <w:szCs w:val="24"/>
              </w:rPr>
              <w:t>工艺流程和产排污环节</w:t>
            </w:r>
          </w:p>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2.3.</w:t>
            </w:r>
            <w:r>
              <w:rPr>
                <w:rFonts w:hint="eastAsia" w:ascii="宋体" w:hAnsi="宋体" w:eastAsia="宋体" w:cs="宋体"/>
                <w:b/>
                <w:bCs/>
                <w:color w:val="auto"/>
                <w:sz w:val="24"/>
                <w:szCs w:val="24"/>
              </w:rPr>
              <w:t>1施工期工艺流程简述</w:t>
            </w:r>
          </w:p>
          <w:p>
            <w:pPr>
              <w:spacing w:line="360" w:lineRule="auto"/>
              <w:ind w:firstLine="56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本项目位于勐海县勐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镇，本项目</w:t>
            </w:r>
            <w:r>
              <w:rPr>
                <w:rFonts w:hint="eastAsia" w:ascii="宋体" w:hAnsi="宋体" w:eastAsia="宋体" w:cs="宋体"/>
                <w:color w:val="auto"/>
                <w:sz w:val="24"/>
                <w:szCs w:val="24"/>
                <w:lang w:val="en-US" w:eastAsia="zh-CN"/>
              </w:rPr>
              <w:t>已建成运营多年，建设完成后未遗留施工期建设遗留问题</w:t>
            </w:r>
            <w:r>
              <w:rPr>
                <w:rFonts w:hint="eastAsia" w:ascii="宋体" w:hAnsi="宋体" w:eastAsia="宋体" w:cs="宋体"/>
                <w:color w:val="auto"/>
                <w:sz w:val="24"/>
                <w:szCs w:val="24"/>
              </w:rPr>
              <w:t>，未对周围居民以及其他环境敏感</w:t>
            </w:r>
            <w:r>
              <w:rPr>
                <w:rFonts w:hint="eastAsia" w:ascii="宋体" w:hAnsi="宋体" w:eastAsia="宋体" w:cs="宋体"/>
                <w:color w:val="auto"/>
                <w:sz w:val="24"/>
                <w:szCs w:val="24"/>
                <w:lang w:eastAsia="zh-CN"/>
              </w:rPr>
              <w:t>目标</w:t>
            </w:r>
            <w:r>
              <w:rPr>
                <w:rFonts w:hint="eastAsia" w:ascii="宋体" w:hAnsi="宋体" w:eastAsia="宋体" w:cs="宋体"/>
                <w:color w:val="auto"/>
                <w:sz w:val="24"/>
                <w:szCs w:val="24"/>
              </w:rPr>
              <w:t>造成不良影响，也未收到周围居民扰民投诉问题。</w:t>
            </w:r>
          </w:p>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2.3.</w:t>
            </w:r>
            <w:r>
              <w:rPr>
                <w:rFonts w:hint="eastAsia" w:ascii="宋体" w:hAnsi="宋体" w:eastAsia="宋体" w:cs="宋体"/>
                <w:b/>
                <w:bCs/>
                <w:color w:val="auto"/>
                <w:sz w:val="24"/>
                <w:szCs w:val="24"/>
              </w:rPr>
              <w:t>2运营期工艺流程简述</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运营期工艺流程及产污节点如图2-</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w:t>
            </w:r>
          </w:p>
          <w:p>
            <w:pPr>
              <w:spacing w:line="360" w:lineRule="auto"/>
              <w:ind w:firstLine="0" w:firstLineChars="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drawing>
                <wp:inline distT="0" distB="0" distL="114300" distR="114300">
                  <wp:extent cx="5041900" cy="4871085"/>
                  <wp:effectExtent l="0" t="0" r="6350" b="5715"/>
                  <wp:docPr id="7" name="图片 7" descr="170841338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708413380538"/>
                          <pic:cNvPicPr>
                            <a:picLocks noChangeAspect="1"/>
                          </pic:cNvPicPr>
                        </pic:nvPicPr>
                        <pic:blipFill>
                          <a:blip r:embed="rId10"/>
                          <a:stretch>
                            <a:fillRect/>
                          </a:stretch>
                        </pic:blipFill>
                        <pic:spPr>
                          <a:xfrm>
                            <a:off x="0" y="0"/>
                            <a:ext cx="5041900" cy="4871085"/>
                          </a:xfrm>
                          <a:prstGeom prst="rect">
                            <a:avLst/>
                          </a:prstGeom>
                        </pic:spPr>
                      </pic:pic>
                    </a:graphicData>
                  </a:graphic>
                </wp:inline>
              </w:drawing>
            </w:r>
          </w:p>
          <w:p>
            <w:pPr>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图2-</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勐海镇</w:t>
            </w:r>
            <w:r>
              <w:rPr>
                <w:rFonts w:hint="eastAsia" w:ascii="宋体" w:hAnsi="宋体" w:eastAsia="宋体" w:cs="宋体"/>
                <w:color w:val="auto"/>
                <w:sz w:val="24"/>
                <w:szCs w:val="24"/>
              </w:rPr>
              <w:t>卫生院运营期工艺流程及产污节点</w:t>
            </w:r>
          </w:p>
          <w:p>
            <w:pPr>
              <w:rPr>
                <w:rFonts w:hint="eastAsia" w:ascii="宋体" w:hAnsi="宋体" w:eastAsia="宋体" w:cs="宋体"/>
                <w:color w:val="auto"/>
                <w:sz w:val="24"/>
                <w:szCs w:val="24"/>
              </w:rPr>
            </w:pPr>
          </w:p>
          <w:p>
            <w:pPr>
              <w:adjustRightInd w:val="0"/>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本项目运营期产污环节主要有病人就诊检验过程、病人住院治疗过程、职工生活过程、污水处理设备、垃圾</w:t>
            </w:r>
            <w:r>
              <w:rPr>
                <w:rFonts w:hint="eastAsia" w:ascii="宋体" w:hAnsi="宋体" w:eastAsia="宋体" w:cs="宋体"/>
                <w:color w:val="auto"/>
                <w:sz w:val="24"/>
                <w:szCs w:val="24"/>
                <w:lang w:eastAsia="zh-CN"/>
              </w:rPr>
              <w:t>桶</w:t>
            </w:r>
            <w:r>
              <w:rPr>
                <w:rFonts w:hint="eastAsia" w:ascii="宋体" w:hAnsi="宋体" w:eastAsia="宋体" w:cs="宋体"/>
                <w:color w:val="auto"/>
                <w:sz w:val="24"/>
                <w:szCs w:val="24"/>
              </w:rPr>
              <w:t>及医疗废物暂存间等。</w:t>
            </w:r>
          </w:p>
          <w:p>
            <w:pPr>
              <w:numPr>
                <w:ilvl w:val="0"/>
                <w:numId w:val="6"/>
              </w:numPr>
              <w:adjustRightInd w:val="0"/>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病人就诊检验过程</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项目营运期病人在接受</w:t>
            </w:r>
            <w:r>
              <w:rPr>
                <w:rFonts w:hint="eastAsia" w:ascii="宋体" w:hAnsi="宋体" w:eastAsia="宋体" w:cs="宋体"/>
                <w:color w:val="auto"/>
                <w:sz w:val="24"/>
                <w:szCs w:val="24"/>
                <w:lang w:val="en-US" w:eastAsia="zh-CN"/>
              </w:rPr>
              <w:t>诊断</w:t>
            </w:r>
            <w:r>
              <w:rPr>
                <w:rFonts w:hint="eastAsia" w:ascii="宋体" w:hAnsi="宋体" w:eastAsia="宋体" w:cs="宋体"/>
                <w:color w:val="auto"/>
                <w:sz w:val="24"/>
                <w:szCs w:val="24"/>
              </w:rPr>
              <w:t>的过程中要消耗医疗器材及药物，会产生医疗废水和医疗固废。</w:t>
            </w:r>
          </w:p>
          <w:p>
            <w:pPr>
              <w:adjustRightInd w:val="0"/>
              <w:spacing w:line="360" w:lineRule="auto"/>
              <w:ind w:firstLine="48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（2）病人住院过程</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项目不设置传染病房，住院病人生活中产生的生活垃圾为一般性固体废弃物，</w:t>
            </w:r>
            <w:r>
              <w:rPr>
                <w:rFonts w:hint="eastAsia" w:ascii="宋体" w:hAnsi="宋体" w:eastAsia="宋体" w:cs="宋体"/>
                <w:color w:val="auto"/>
                <w:sz w:val="24"/>
                <w:szCs w:val="24"/>
                <w:lang w:val="en-US" w:eastAsia="zh-CN"/>
              </w:rPr>
              <w:t>产生</w:t>
            </w:r>
            <w:r>
              <w:rPr>
                <w:rFonts w:hint="eastAsia" w:ascii="宋体" w:hAnsi="宋体" w:eastAsia="宋体" w:cs="宋体"/>
                <w:color w:val="auto"/>
                <w:sz w:val="24"/>
                <w:szCs w:val="24"/>
              </w:rPr>
              <w:t>生活污水</w:t>
            </w:r>
            <w:r>
              <w:rPr>
                <w:rFonts w:hint="eastAsia" w:ascii="宋体" w:hAnsi="宋体" w:eastAsia="宋体" w:cs="宋体"/>
                <w:color w:val="auto"/>
                <w:sz w:val="24"/>
                <w:szCs w:val="24"/>
                <w:lang w:val="en-US" w:eastAsia="zh-CN"/>
              </w:rPr>
              <w:t>和医疗</w:t>
            </w:r>
            <w:r>
              <w:rPr>
                <w:rFonts w:hint="eastAsia" w:ascii="宋体" w:hAnsi="宋体" w:eastAsia="宋体" w:cs="宋体"/>
                <w:color w:val="auto"/>
                <w:sz w:val="24"/>
                <w:szCs w:val="24"/>
              </w:rPr>
              <w:t>废水。</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（3）职工生活过程</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职工在办公区日常生活过程中会产生生活垃圾以及生活污水，职工生活垃圾为一般性固体废弃物。</w:t>
            </w:r>
          </w:p>
          <w:p>
            <w:pPr>
              <w:adjustRightInd w:val="0"/>
              <w:spacing w:line="360" w:lineRule="auto"/>
              <w:ind w:firstLine="480" w:firstLineChars="20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（4）污水处理</w:t>
            </w:r>
            <w:r>
              <w:rPr>
                <w:rFonts w:hint="eastAsia" w:ascii="宋体" w:hAnsi="宋体" w:eastAsia="宋体" w:cs="宋体"/>
                <w:color w:val="auto"/>
                <w:sz w:val="24"/>
                <w:szCs w:val="24"/>
                <w:lang w:eastAsia="zh-CN"/>
              </w:rPr>
              <w:t>设施</w:t>
            </w:r>
            <w:r>
              <w:rPr>
                <w:rFonts w:hint="eastAsia" w:ascii="宋体" w:hAnsi="宋体" w:eastAsia="宋体" w:cs="宋体"/>
                <w:color w:val="auto"/>
                <w:sz w:val="24"/>
                <w:szCs w:val="24"/>
              </w:rPr>
              <w:t>、垃圾</w:t>
            </w:r>
            <w:r>
              <w:rPr>
                <w:rFonts w:hint="eastAsia" w:ascii="宋体" w:hAnsi="宋体" w:eastAsia="宋体" w:cs="宋体"/>
                <w:color w:val="auto"/>
                <w:sz w:val="24"/>
                <w:szCs w:val="24"/>
                <w:lang w:eastAsia="zh-CN"/>
              </w:rPr>
              <w:t>桶</w:t>
            </w:r>
            <w:r>
              <w:rPr>
                <w:rFonts w:hint="eastAsia" w:ascii="宋体" w:hAnsi="宋体" w:eastAsia="宋体" w:cs="宋体"/>
                <w:color w:val="auto"/>
                <w:sz w:val="24"/>
                <w:szCs w:val="24"/>
              </w:rPr>
              <w:t>以及医疗废物</w:t>
            </w:r>
            <w:r>
              <w:rPr>
                <w:rFonts w:hint="eastAsia" w:ascii="宋体" w:hAnsi="宋体" w:eastAsia="宋体" w:cs="宋体"/>
                <w:color w:val="auto"/>
                <w:sz w:val="24"/>
                <w:szCs w:val="24"/>
                <w:lang w:eastAsia="zh-CN"/>
              </w:rPr>
              <w:t>暂存间</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运营期污水处理设备会产生设备噪声以及异味气体，垃圾</w:t>
            </w:r>
            <w:r>
              <w:rPr>
                <w:rFonts w:hint="eastAsia" w:ascii="宋体" w:hAnsi="宋体" w:eastAsia="宋体" w:cs="宋体"/>
                <w:color w:val="auto"/>
                <w:sz w:val="24"/>
                <w:szCs w:val="24"/>
                <w:lang w:eastAsia="zh-CN"/>
              </w:rPr>
              <w:t>桶</w:t>
            </w:r>
            <w:r>
              <w:rPr>
                <w:rFonts w:hint="eastAsia" w:ascii="宋体" w:hAnsi="宋体" w:eastAsia="宋体" w:cs="宋体"/>
                <w:color w:val="auto"/>
                <w:sz w:val="24"/>
                <w:szCs w:val="24"/>
              </w:rPr>
              <w:t>及医疗废物</w:t>
            </w:r>
            <w:r>
              <w:rPr>
                <w:rFonts w:hint="eastAsia" w:ascii="宋体" w:hAnsi="宋体" w:eastAsia="宋体" w:cs="宋体"/>
                <w:color w:val="auto"/>
                <w:sz w:val="24"/>
                <w:szCs w:val="24"/>
                <w:lang w:eastAsia="zh-CN"/>
              </w:rPr>
              <w:t>暂存间</w:t>
            </w:r>
            <w:r>
              <w:rPr>
                <w:rFonts w:hint="eastAsia" w:ascii="宋体" w:hAnsi="宋体" w:eastAsia="宋体" w:cs="宋体"/>
                <w:color w:val="auto"/>
                <w:sz w:val="24"/>
                <w:szCs w:val="24"/>
              </w:rPr>
              <w:t>若管理不当会产生异味。</w:t>
            </w:r>
          </w:p>
          <w:p>
            <w:pPr>
              <w:ind w:firstLine="420" w:firstLineChars="200"/>
              <w:jc w:val="center"/>
              <w:rPr>
                <w:rFonts w:hint="eastAsia" w:ascii="黑体" w:hAnsi="黑体" w:eastAsia="黑体" w:cs="黑体"/>
                <w:color w:val="auto"/>
                <w:sz w:val="21"/>
                <w:szCs w:val="21"/>
              </w:rPr>
            </w:pPr>
            <w:r>
              <w:rPr>
                <w:rFonts w:hint="eastAsia" w:ascii="黑体" w:hAnsi="黑体" w:eastAsia="黑体" w:cs="黑体"/>
                <w:color w:val="auto"/>
                <w:sz w:val="21"/>
                <w:szCs w:val="21"/>
              </w:rPr>
              <w:t>表2-</w:t>
            </w:r>
            <w:r>
              <w:rPr>
                <w:rFonts w:hint="eastAsia" w:ascii="黑体" w:hAnsi="黑体" w:eastAsia="黑体" w:cs="黑体"/>
                <w:color w:val="auto"/>
                <w:sz w:val="21"/>
                <w:szCs w:val="21"/>
                <w:lang w:val="en-US" w:eastAsia="zh-CN"/>
              </w:rPr>
              <w:t>7</w:t>
            </w:r>
            <w:r>
              <w:rPr>
                <w:rFonts w:hint="eastAsia" w:ascii="黑体" w:hAnsi="黑体" w:eastAsia="黑体" w:cs="黑体"/>
                <w:color w:val="auto"/>
                <w:sz w:val="21"/>
                <w:szCs w:val="21"/>
              </w:rPr>
              <w:t xml:space="preserve">  项目运营期产污分析一览表</w:t>
            </w:r>
          </w:p>
          <w:tbl>
            <w:tblPr>
              <w:tblStyle w:val="26"/>
              <w:tblW w:w="7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846"/>
              <w:gridCol w:w="2916"/>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2465" w:type="dxa"/>
                  <w:gridSpan w:val="2"/>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污染源类别</w:t>
                  </w:r>
                </w:p>
              </w:tc>
              <w:tc>
                <w:tcPr>
                  <w:tcW w:w="2916"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主要污染物</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主要来源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restart"/>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废水</w:t>
                  </w:r>
                </w:p>
              </w:tc>
              <w:tc>
                <w:tcPr>
                  <w:tcW w:w="1846"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门诊</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 xml:space="preserve">手术室、煎药、地面清洁 </w:t>
                  </w:r>
                </w:p>
              </w:tc>
              <w:tc>
                <w:tcPr>
                  <w:tcW w:w="2916" w:type="dxa"/>
                  <w:vMerge w:val="restart"/>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COD、BOD</w:t>
                  </w:r>
                  <w:r>
                    <w:rPr>
                      <w:rFonts w:hint="eastAsia" w:ascii="宋体" w:hAnsi="宋体" w:eastAsia="宋体" w:cs="宋体"/>
                      <w:bCs/>
                      <w:color w:val="auto"/>
                      <w:sz w:val="18"/>
                      <w:szCs w:val="18"/>
                      <w:vertAlign w:val="subscript"/>
                    </w:rPr>
                    <w:t>5</w:t>
                  </w:r>
                  <w:r>
                    <w:rPr>
                      <w:rFonts w:hint="eastAsia" w:ascii="宋体" w:hAnsi="宋体" w:eastAsia="宋体" w:cs="宋体"/>
                      <w:bCs/>
                      <w:color w:val="auto"/>
                      <w:sz w:val="18"/>
                      <w:szCs w:val="18"/>
                    </w:rPr>
                    <w:t>、SS、NH</w:t>
                  </w:r>
                  <w:r>
                    <w:rPr>
                      <w:rFonts w:hint="eastAsia" w:ascii="宋体" w:hAnsi="宋体" w:eastAsia="宋体" w:cs="宋体"/>
                      <w:bCs/>
                      <w:color w:val="auto"/>
                      <w:sz w:val="18"/>
                      <w:szCs w:val="18"/>
                      <w:vertAlign w:val="subscript"/>
                    </w:rPr>
                    <w:t>3</w:t>
                  </w:r>
                  <w:r>
                    <w:rPr>
                      <w:rFonts w:hint="eastAsia" w:ascii="宋体" w:hAnsi="宋体" w:eastAsia="宋体" w:cs="宋体"/>
                      <w:bCs/>
                      <w:color w:val="auto"/>
                      <w:sz w:val="18"/>
                      <w:szCs w:val="18"/>
                    </w:rPr>
                    <w:t>-N、粪大肠杆菌、总余氯等</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color w:val="auto"/>
                      <w:sz w:val="18"/>
                      <w:szCs w:val="18"/>
                    </w:rPr>
                    <w:t>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1846"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病房废水</w:t>
                  </w:r>
                </w:p>
              </w:tc>
              <w:tc>
                <w:tcPr>
                  <w:tcW w:w="2916"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病患住院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619"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1846"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检验废水</w:t>
                  </w:r>
                </w:p>
              </w:tc>
              <w:tc>
                <w:tcPr>
                  <w:tcW w:w="2916"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SS、少量病原微生物等</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检验室容器清洗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19"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1846" w:type="dxa"/>
                  <w:vAlign w:val="center"/>
                </w:tcPr>
                <w:p>
                  <w:pPr>
                    <w:pStyle w:val="18"/>
                    <w:spacing w:after="0"/>
                    <w:ind w:left="0" w:leftChars="0" w:firstLine="0" w:firstLineChars="0"/>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rPr>
                    <w:t>生活污水</w:t>
                  </w:r>
                  <w:r>
                    <w:rPr>
                      <w:rFonts w:hint="eastAsia" w:ascii="宋体" w:hAnsi="宋体" w:cs="宋体"/>
                      <w:bCs/>
                      <w:color w:val="auto"/>
                      <w:sz w:val="18"/>
                      <w:szCs w:val="18"/>
                      <w:lang w:eastAsia="zh-CN"/>
                    </w:rPr>
                    <w:t>、</w:t>
                  </w:r>
                  <w:r>
                    <w:rPr>
                      <w:rFonts w:hint="eastAsia" w:ascii="宋体" w:hAnsi="宋体" w:cs="宋体"/>
                      <w:bCs/>
                      <w:color w:val="auto"/>
                      <w:sz w:val="18"/>
                      <w:szCs w:val="18"/>
                      <w:lang w:val="en-US" w:eastAsia="zh-CN"/>
                    </w:rPr>
                    <w:t>浆洗房废水</w:t>
                  </w:r>
                </w:p>
              </w:tc>
              <w:tc>
                <w:tcPr>
                  <w:tcW w:w="2916"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COD、BOD</w:t>
                  </w:r>
                  <w:r>
                    <w:rPr>
                      <w:rFonts w:hint="eastAsia" w:ascii="宋体" w:hAnsi="宋体" w:eastAsia="宋体" w:cs="宋体"/>
                      <w:bCs/>
                      <w:color w:val="auto"/>
                      <w:sz w:val="18"/>
                      <w:szCs w:val="18"/>
                      <w:vertAlign w:val="subscript"/>
                    </w:rPr>
                    <w:t>5</w:t>
                  </w:r>
                  <w:r>
                    <w:rPr>
                      <w:rFonts w:hint="eastAsia" w:ascii="宋体" w:hAnsi="宋体" w:eastAsia="宋体" w:cs="宋体"/>
                      <w:bCs/>
                      <w:color w:val="auto"/>
                      <w:sz w:val="18"/>
                      <w:szCs w:val="18"/>
                    </w:rPr>
                    <w:t>、SS、NH</w:t>
                  </w:r>
                  <w:r>
                    <w:rPr>
                      <w:rFonts w:hint="eastAsia" w:ascii="宋体" w:hAnsi="宋体" w:eastAsia="宋体" w:cs="宋体"/>
                      <w:bCs/>
                      <w:color w:val="auto"/>
                      <w:sz w:val="18"/>
                      <w:szCs w:val="18"/>
                      <w:vertAlign w:val="subscript"/>
                    </w:rPr>
                    <w:t>3</w:t>
                  </w:r>
                  <w:r>
                    <w:rPr>
                      <w:rFonts w:hint="eastAsia" w:ascii="宋体" w:hAnsi="宋体" w:eastAsia="宋体" w:cs="宋体"/>
                      <w:bCs/>
                      <w:color w:val="auto"/>
                      <w:sz w:val="18"/>
                      <w:szCs w:val="18"/>
                    </w:rPr>
                    <w:t>-N、总磷、总氮等</w:t>
                  </w:r>
                </w:p>
              </w:tc>
              <w:tc>
                <w:tcPr>
                  <w:tcW w:w="2554" w:type="dxa"/>
                  <w:vAlign w:val="center"/>
                </w:tcPr>
                <w:p>
                  <w:pPr>
                    <w:pStyle w:val="18"/>
                    <w:spacing w:after="0"/>
                    <w:ind w:left="0" w:leftChars="0" w:firstLine="0" w:firstLineChars="0"/>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rPr>
                    <w:t>生活区</w:t>
                  </w:r>
                  <w:r>
                    <w:rPr>
                      <w:rFonts w:hint="eastAsia" w:ascii="宋体" w:hAnsi="宋体" w:cs="宋体"/>
                      <w:bCs/>
                      <w:color w:val="auto"/>
                      <w:sz w:val="18"/>
                      <w:szCs w:val="18"/>
                      <w:lang w:eastAsia="zh-CN"/>
                    </w:rPr>
                    <w:t>、</w:t>
                  </w:r>
                  <w:r>
                    <w:rPr>
                      <w:rFonts w:hint="eastAsia" w:ascii="宋体" w:hAnsi="宋体" w:cs="宋体"/>
                      <w:bCs/>
                      <w:color w:val="auto"/>
                      <w:sz w:val="18"/>
                      <w:szCs w:val="18"/>
                      <w:lang w:val="en-US" w:eastAsia="zh-CN"/>
                    </w:rPr>
                    <w:t>浆洗房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619" w:type="dxa"/>
                  <w:vMerge w:val="restart"/>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废气</w:t>
                  </w:r>
                </w:p>
              </w:tc>
              <w:tc>
                <w:tcPr>
                  <w:tcW w:w="1846" w:type="dxa"/>
                  <w:vMerge w:val="restart"/>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异味</w:t>
                  </w:r>
                </w:p>
              </w:tc>
              <w:tc>
                <w:tcPr>
                  <w:tcW w:w="2916" w:type="dxa"/>
                  <w:vMerge w:val="restart"/>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臭气、H</w:t>
                  </w:r>
                  <w:r>
                    <w:rPr>
                      <w:rFonts w:hint="eastAsia" w:ascii="宋体" w:hAnsi="宋体" w:eastAsia="宋体" w:cs="宋体"/>
                      <w:bCs/>
                      <w:color w:val="auto"/>
                      <w:sz w:val="18"/>
                      <w:szCs w:val="18"/>
                      <w:vertAlign w:val="subscript"/>
                    </w:rPr>
                    <w:t>2</w:t>
                  </w:r>
                  <w:r>
                    <w:rPr>
                      <w:rFonts w:hint="eastAsia" w:ascii="宋体" w:hAnsi="宋体" w:eastAsia="宋体" w:cs="宋体"/>
                      <w:bCs/>
                      <w:color w:val="auto"/>
                      <w:sz w:val="18"/>
                      <w:szCs w:val="18"/>
                    </w:rPr>
                    <w:t>S、NH</w:t>
                  </w:r>
                  <w:r>
                    <w:rPr>
                      <w:rFonts w:hint="eastAsia" w:ascii="宋体" w:hAnsi="宋体" w:eastAsia="宋体" w:cs="宋体"/>
                      <w:bCs/>
                      <w:color w:val="auto"/>
                      <w:sz w:val="18"/>
                      <w:szCs w:val="18"/>
                      <w:vertAlign w:val="subscript"/>
                    </w:rPr>
                    <w:t>3</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19"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1846"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2916"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化粪池、</w:t>
                  </w:r>
                  <w:r>
                    <w:rPr>
                      <w:rFonts w:hint="eastAsia" w:ascii="宋体" w:hAnsi="宋体" w:cs="宋体"/>
                      <w:bCs/>
                      <w:color w:val="auto"/>
                      <w:sz w:val="18"/>
                      <w:szCs w:val="18"/>
                      <w:lang w:eastAsia="zh-CN"/>
                    </w:rPr>
                    <w:t>医疗废物暂存间</w:t>
                  </w:r>
                  <w:r>
                    <w:rPr>
                      <w:rFonts w:hint="eastAsia" w:ascii="宋体" w:hAnsi="宋体" w:eastAsia="宋体" w:cs="宋体"/>
                      <w:bCs/>
                      <w:color w:val="auto"/>
                      <w:sz w:val="18"/>
                      <w:szCs w:val="18"/>
                    </w:rPr>
                    <w:t>、垃圾桶、卫生间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619"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1846"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备用发电机废气</w:t>
                  </w:r>
                </w:p>
              </w:tc>
              <w:tc>
                <w:tcPr>
                  <w:tcW w:w="2916"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THC、CO、NO</w:t>
                  </w:r>
                  <w:r>
                    <w:rPr>
                      <w:rFonts w:hint="eastAsia" w:ascii="宋体" w:hAnsi="宋体" w:eastAsia="宋体" w:cs="宋体"/>
                      <w:bCs/>
                      <w:color w:val="auto"/>
                      <w:sz w:val="18"/>
                      <w:szCs w:val="18"/>
                      <w:vertAlign w:val="subscript"/>
                    </w:rPr>
                    <w:t>X</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发电机房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619"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1846"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汽车尾气</w:t>
                  </w:r>
                </w:p>
              </w:tc>
              <w:tc>
                <w:tcPr>
                  <w:tcW w:w="2916" w:type="dxa"/>
                  <w:vAlign w:val="center"/>
                </w:tcPr>
                <w:p>
                  <w:pPr>
                    <w:pStyle w:val="18"/>
                    <w:spacing w:after="0"/>
                    <w:ind w:left="0" w:leftChars="0"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NO</w:t>
                  </w:r>
                  <w:r>
                    <w:rPr>
                      <w:rFonts w:hint="eastAsia" w:ascii="宋体" w:hAnsi="宋体" w:eastAsia="宋体" w:cs="宋体"/>
                      <w:color w:val="auto"/>
                      <w:sz w:val="18"/>
                      <w:szCs w:val="18"/>
                      <w:vertAlign w:val="subscript"/>
                    </w:rPr>
                    <w:t>X</w:t>
                  </w:r>
                  <w:r>
                    <w:rPr>
                      <w:rFonts w:hint="eastAsia" w:ascii="宋体" w:hAnsi="宋体" w:eastAsia="宋体" w:cs="宋体"/>
                      <w:color w:val="auto"/>
                      <w:sz w:val="18"/>
                      <w:szCs w:val="18"/>
                    </w:rPr>
                    <w:t>、CO、THC</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465" w:type="dxa"/>
                  <w:gridSpan w:val="2"/>
                  <w:vMerge w:val="restart"/>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噪声</w:t>
                  </w:r>
                </w:p>
              </w:tc>
              <w:tc>
                <w:tcPr>
                  <w:tcW w:w="2916"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设备噪声</w:t>
                  </w:r>
                </w:p>
              </w:tc>
              <w:tc>
                <w:tcPr>
                  <w:tcW w:w="2554" w:type="dxa"/>
                  <w:vAlign w:val="center"/>
                </w:tcPr>
                <w:p>
                  <w:pPr>
                    <w:pStyle w:val="18"/>
                    <w:spacing w:after="0"/>
                    <w:ind w:left="0" w:leftChars="0" w:firstLine="0" w:firstLineChars="0"/>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rPr>
                    <w:t>水泵噪声、</w:t>
                  </w:r>
                  <w:r>
                    <w:rPr>
                      <w:rFonts w:hint="eastAsia" w:ascii="宋体" w:hAnsi="宋体" w:cs="宋体"/>
                      <w:bCs/>
                      <w:color w:val="auto"/>
                      <w:sz w:val="18"/>
                      <w:szCs w:val="18"/>
                      <w:lang w:val="en-US" w:eastAsia="zh-CN"/>
                    </w:rPr>
                    <w:t>鼓风机</w:t>
                  </w:r>
                  <w:r>
                    <w:rPr>
                      <w:rFonts w:hint="eastAsia" w:ascii="宋体" w:hAnsi="宋体" w:eastAsia="宋体" w:cs="宋体"/>
                      <w:bCs/>
                      <w:color w:val="auto"/>
                      <w:sz w:val="18"/>
                      <w:szCs w:val="18"/>
                    </w:rPr>
                    <w:t>和</w:t>
                  </w:r>
                  <w:r>
                    <w:rPr>
                      <w:rFonts w:hint="eastAsia" w:ascii="宋体" w:hAnsi="宋体" w:cs="宋体"/>
                      <w:bCs/>
                      <w:color w:val="auto"/>
                      <w:sz w:val="18"/>
                      <w:szCs w:val="18"/>
                      <w:lang w:val="en-US" w:eastAsia="zh-CN"/>
                    </w:rPr>
                    <w:t>空调排风机噪声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465" w:type="dxa"/>
                  <w:gridSpan w:val="2"/>
                  <w:vMerge w:val="continue"/>
                  <w:vAlign w:val="center"/>
                </w:tcPr>
                <w:p>
                  <w:pPr>
                    <w:pStyle w:val="18"/>
                    <w:spacing w:after="0"/>
                    <w:ind w:left="0" w:leftChars="0" w:firstLine="0" w:firstLineChars="0"/>
                    <w:jc w:val="center"/>
                    <w:rPr>
                      <w:color w:val="auto"/>
                    </w:rPr>
                  </w:pPr>
                </w:p>
              </w:tc>
              <w:tc>
                <w:tcPr>
                  <w:tcW w:w="2916" w:type="dxa"/>
                  <w:vAlign w:val="center"/>
                </w:tcPr>
                <w:p>
                  <w:pPr>
                    <w:pStyle w:val="18"/>
                    <w:spacing w:after="0"/>
                    <w:ind w:left="0" w:leftChars="0" w:firstLine="0" w:firstLineChars="0"/>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人员活动噪声</w:t>
                  </w:r>
                </w:p>
              </w:tc>
              <w:tc>
                <w:tcPr>
                  <w:tcW w:w="2554" w:type="dxa"/>
                  <w:vAlign w:val="center"/>
                </w:tcPr>
                <w:p>
                  <w:pPr>
                    <w:pStyle w:val="18"/>
                    <w:spacing w:after="0"/>
                    <w:ind w:left="0" w:leftChars="0" w:firstLine="0" w:firstLineChars="0"/>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病患、医护人员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19" w:type="dxa"/>
                  <w:vMerge w:val="restart"/>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固体废弃物</w:t>
                  </w:r>
                </w:p>
              </w:tc>
              <w:tc>
                <w:tcPr>
                  <w:tcW w:w="1846" w:type="dxa"/>
                  <w:vMerge w:val="restart"/>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一般固体废物</w:t>
                  </w:r>
                </w:p>
              </w:tc>
              <w:tc>
                <w:tcPr>
                  <w:tcW w:w="2916" w:type="dxa"/>
                  <w:vAlign w:val="center"/>
                </w:tcPr>
                <w:p>
                  <w:pPr>
                    <w:autoSpaceDE w:val="0"/>
                    <w:autoSpaceDN w:val="0"/>
                    <w:adjustRightInd w:val="0"/>
                    <w:snapToGrid w:val="0"/>
                    <w:jc w:val="center"/>
                    <w:rPr>
                      <w:rFonts w:hint="eastAsia" w:ascii="宋体" w:hAnsi="宋体" w:eastAsia="宋体" w:cs="宋体"/>
                      <w:bCs/>
                      <w:color w:val="auto"/>
                      <w:sz w:val="18"/>
                      <w:szCs w:val="18"/>
                    </w:rPr>
                  </w:pPr>
                  <w:r>
                    <w:rPr>
                      <w:rFonts w:hint="eastAsia" w:ascii="宋体" w:hAnsi="宋体" w:eastAsia="宋体" w:cs="宋体"/>
                      <w:color w:val="auto"/>
                      <w:sz w:val="18"/>
                      <w:szCs w:val="18"/>
                    </w:rPr>
                    <w:t>生活垃圾</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各科室、病房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19"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1846"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2916" w:type="dxa"/>
                  <w:vAlign w:val="center"/>
                </w:tcPr>
                <w:p>
                  <w:pPr>
                    <w:autoSpaceDE w:val="0"/>
                    <w:autoSpaceDN w:val="0"/>
                    <w:adjustRightInd w:val="0"/>
                    <w:snapToGrid w:val="0"/>
                    <w:jc w:val="center"/>
                    <w:rPr>
                      <w:rFonts w:hint="eastAsia" w:ascii="宋体" w:hAnsi="宋体" w:eastAsia="宋体" w:cs="宋体"/>
                      <w:bCs/>
                      <w:color w:val="auto"/>
                      <w:sz w:val="18"/>
                      <w:szCs w:val="18"/>
                    </w:rPr>
                  </w:pPr>
                  <w:r>
                    <w:rPr>
                      <w:rFonts w:hint="eastAsia" w:ascii="宋体" w:hAnsi="宋体" w:eastAsia="宋体" w:cs="宋体"/>
                      <w:color w:val="auto"/>
                      <w:sz w:val="18"/>
                      <w:szCs w:val="18"/>
                    </w:rPr>
                    <w:t>中药药渣</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煎药室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19"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1846"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2916" w:type="dxa"/>
                  <w:vAlign w:val="center"/>
                </w:tcPr>
                <w:p>
                  <w:pPr>
                    <w:autoSpaceDE w:val="0"/>
                    <w:autoSpaceDN w:val="0"/>
                    <w:adjustRightInd w:val="0"/>
                    <w:snapToGrid w:val="0"/>
                    <w:jc w:val="center"/>
                    <w:rPr>
                      <w:rFonts w:hint="eastAsia" w:ascii="宋体" w:hAnsi="宋体" w:eastAsia="宋体" w:cs="宋体"/>
                      <w:bCs/>
                      <w:color w:val="auto"/>
                      <w:sz w:val="18"/>
                      <w:szCs w:val="18"/>
                    </w:rPr>
                  </w:pPr>
                  <w:r>
                    <w:rPr>
                      <w:rFonts w:hint="eastAsia" w:ascii="宋体" w:hAnsi="宋体" w:eastAsia="宋体" w:cs="宋体"/>
                      <w:color w:val="auto"/>
                      <w:sz w:val="18"/>
                      <w:szCs w:val="18"/>
                    </w:rPr>
                    <w:t>废包装材料</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各科室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1846" w:type="dxa"/>
                  <w:vMerge w:val="restart"/>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危险废物</w:t>
                  </w:r>
                </w:p>
              </w:tc>
              <w:tc>
                <w:tcPr>
                  <w:tcW w:w="2916" w:type="dxa"/>
                  <w:vAlign w:val="center"/>
                </w:tcPr>
                <w:p>
                  <w:pPr>
                    <w:adjustRightInd w:val="0"/>
                    <w:snapToGrid w:val="0"/>
                    <w:jc w:val="center"/>
                    <w:rPr>
                      <w:rFonts w:hint="eastAsia" w:ascii="宋体" w:hAnsi="宋体" w:eastAsia="宋体" w:cs="宋体"/>
                      <w:bCs/>
                      <w:color w:val="auto"/>
                      <w:sz w:val="18"/>
                      <w:szCs w:val="18"/>
                    </w:rPr>
                  </w:pPr>
                  <w:r>
                    <w:rPr>
                      <w:rFonts w:hint="eastAsia" w:ascii="宋体" w:hAnsi="宋体" w:eastAsia="宋体" w:cs="宋体"/>
                      <w:color w:val="auto"/>
                      <w:sz w:val="18"/>
                      <w:szCs w:val="18"/>
                    </w:rPr>
                    <w:t>医疗固废</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各科室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1846" w:type="dxa"/>
                  <w:vMerge w:val="continue"/>
                  <w:vAlign w:val="center"/>
                </w:tcPr>
                <w:p>
                  <w:pPr>
                    <w:pStyle w:val="18"/>
                    <w:spacing w:after="0"/>
                    <w:ind w:left="0" w:leftChars="0" w:firstLine="0" w:firstLineChars="0"/>
                    <w:jc w:val="center"/>
                    <w:rPr>
                      <w:rFonts w:hint="eastAsia" w:ascii="宋体" w:hAnsi="宋体" w:eastAsia="宋体" w:cs="宋体"/>
                      <w:bCs/>
                      <w:color w:val="auto"/>
                      <w:sz w:val="18"/>
                      <w:szCs w:val="18"/>
                    </w:rPr>
                  </w:pPr>
                </w:p>
              </w:tc>
              <w:tc>
                <w:tcPr>
                  <w:tcW w:w="2916" w:type="dxa"/>
                  <w:vAlign w:val="center"/>
                </w:tcPr>
                <w:p>
                  <w:pPr>
                    <w:adjustRightInd w:val="0"/>
                    <w:snapToGrid w:val="0"/>
                    <w:jc w:val="center"/>
                    <w:rPr>
                      <w:rFonts w:hint="eastAsia" w:ascii="宋体" w:hAnsi="宋体" w:eastAsia="宋体" w:cs="宋体"/>
                      <w:bCs/>
                      <w:color w:val="auto"/>
                      <w:sz w:val="18"/>
                      <w:szCs w:val="18"/>
                    </w:rPr>
                  </w:pPr>
                  <w:r>
                    <w:rPr>
                      <w:rFonts w:hint="eastAsia" w:ascii="宋体" w:hAnsi="宋体" w:eastAsia="宋体" w:cs="宋体"/>
                      <w:color w:val="auto"/>
                      <w:kern w:val="0"/>
                      <w:sz w:val="18"/>
                      <w:szCs w:val="18"/>
                    </w:rPr>
                    <w:t>化粪池污泥和污水处理站污泥及栅渣</w:t>
                  </w:r>
                </w:p>
              </w:tc>
              <w:tc>
                <w:tcPr>
                  <w:tcW w:w="2554" w:type="dxa"/>
                  <w:vAlign w:val="center"/>
                </w:tcPr>
                <w:p>
                  <w:pPr>
                    <w:pStyle w:val="18"/>
                    <w:spacing w:after="0"/>
                    <w:ind w:left="0" w:leftChars="0" w:firstLine="0" w:firstLineChars="0"/>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化粪池、污水处理站</w:t>
                  </w:r>
                </w:p>
              </w:tc>
            </w:tr>
          </w:tbl>
          <w:p>
            <w:pPr>
              <w:pStyle w:val="28"/>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23" w:type="dxa"/>
            <w:vAlign w:val="center"/>
          </w:tcPr>
          <w:p>
            <w:pPr>
              <w:pStyle w:val="21"/>
              <w:adjustRightInd w:val="0"/>
              <w:snapToGrid w:val="0"/>
              <w:spacing w:before="0" w:beforeAutospacing="0" w:after="0" w:afterAutospacing="0" w:line="360" w:lineRule="auto"/>
              <w:jc w:val="center"/>
              <w:rPr>
                <w:rFonts w:hint="eastAsia" w:ascii="宋体" w:hAnsi="宋体" w:eastAsia="宋体" w:cs="宋体"/>
                <w:color w:val="auto"/>
                <w:sz w:val="24"/>
                <w:szCs w:val="24"/>
              </w:rPr>
            </w:pPr>
            <w:r>
              <w:rPr>
                <w:rFonts w:hint="eastAsia" w:ascii="宋体" w:hAnsi="宋体" w:eastAsia="宋体" w:cs="宋体"/>
                <w:b/>
                <w:bCs w:val="0"/>
                <w:color w:val="auto"/>
                <w:kern w:val="2"/>
                <w:sz w:val="24"/>
                <w:szCs w:val="24"/>
              </w:rPr>
              <w:t>与项目有关的原有环境污染问题</w:t>
            </w:r>
          </w:p>
        </w:tc>
        <w:tc>
          <w:tcPr>
            <w:tcW w:w="8161" w:type="dxa"/>
            <w:vAlign w:val="top"/>
          </w:tcPr>
          <w:p>
            <w:pPr>
              <w:spacing w:line="360" w:lineRule="auto"/>
              <w:ind w:firstLine="56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 xml:space="preserve">2.4 </w:t>
            </w:r>
            <w:r>
              <w:rPr>
                <w:rFonts w:hint="eastAsia" w:ascii="宋体" w:hAnsi="宋体" w:eastAsia="宋体" w:cs="宋体"/>
                <w:b/>
                <w:bCs/>
                <w:color w:val="auto"/>
                <w:sz w:val="24"/>
                <w:szCs w:val="24"/>
              </w:rPr>
              <w:t>与本项目有关的原有污染情况及主要环境问题：</w:t>
            </w:r>
          </w:p>
          <w:p>
            <w:pPr>
              <w:keepNext w:val="0"/>
              <w:keepLines w:val="0"/>
              <w:widowControl/>
              <w:suppressLineNumbers w:val="0"/>
              <w:spacing w:line="360" w:lineRule="auto"/>
              <w:ind w:firstLine="480" w:firstLineChars="200"/>
              <w:jc w:val="left"/>
              <w:rPr>
                <w:rFonts w:hint="default" w:ascii="宋体" w:hAnsi="宋体" w:eastAsia="宋体" w:cs="宋体"/>
                <w:color w:val="auto"/>
                <w:kern w:val="0"/>
                <w:sz w:val="24"/>
                <w:szCs w:val="24"/>
                <w:u w:val="none"/>
                <w:lang w:val="en-US" w:eastAsia="zh-CN" w:bidi="ar"/>
              </w:rPr>
            </w:pPr>
            <w:r>
              <w:rPr>
                <w:rFonts w:hint="eastAsia" w:ascii="宋体" w:hAnsi="宋体" w:eastAsia="宋体" w:cs="宋体"/>
                <w:color w:val="auto"/>
                <w:sz w:val="24"/>
                <w:szCs w:val="24"/>
              </w:rPr>
              <w:t>勐海县勐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镇卫生院</w:t>
            </w:r>
            <w:r>
              <w:rPr>
                <w:rFonts w:hint="eastAsia" w:ascii="宋体" w:hAnsi="宋体" w:eastAsia="宋体" w:cs="宋体"/>
                <w:color w:val="auto"/>
                <w:sz w:val="24"/>
                <w:szCs w:val="24"/>
                <w:lang w:val="en-US" w:eastAsia="zh-CN"/>
              </w:rPr>
              <w:t>现有场址前身为勐海中医院，</w:t>
            </w:r>
            <w:r>
              <w:rPr>
                <w:rFonts w:hint="eastAsia" w:ascii="宋体" w:hAnsi="宋体" w:eastAsia="宋体" w:cs="宋体"/>
                <w:color w:val="auto"/>
                <w:kern w:val="0"/>
                <w:sz w:val="24"/>
                <w:szCs w:val="24"/>
                <w:lang w:val="en-US" w:eastAsia="zh-CN" w:bidi="ar"/>
              </w:rPr>
              <w:t>勐海县中医医院始建于 1996 年 9 月，由于原勐海县中医院住院部房屋均为砖混彩钢瓦临时用房，勐海县发改局以海发改（ 2007 ）172号文立项批准建设勐海县中医院住院楼，于2009年开展了环境影响评价工作，新建一栋五层框架结构住院楼（为现在勐海县卫生院的综合楼）。</w:t>
            </w:r>
            <w:r>
              <w:rPr>
                <w:rFonts w:hint="eastAsia" w:ascii="宋体" w:hAnsi="宋体" w:eastAsia="宋体" w:cs="宋体"/>
                <w:color w:val="auto"/>
                <w:sz w:val="24"/>
                <w:szCs w:val="24"/>
                <w:u w:val="none"/>
                <w:lang w:val="en-US" w:eastAsia="zh-CN"/>
              </w:rPr>
              <w:t>2022年勐海县人民政府将勐海县中医院老院区，划拨给勐海镇卫生院使用。勐海镇卫生院2022年8月搬迁到现有厂址，</w:t>
            </w:r>
            <w:r>
              <w:rPr>
                <w:rFonts w:hint="eastAsia" w:ascii="宋体" w:hAnsi="宋体" w:eastAsia="宋体" w:cs="宋体"/>
                <w:color w:val="auto"/>
                <w:kern w:val="0"/>
                <w:sz w:val="24"/>
                <w:szCs w:val="24"/>
                <w:lang w:val="en-US" w:eastAsia="zh-CN" w:bidi="ar"/>
              </w:rPr>
              <w:t>项目现有的污水处理装置为老院区搬迁过来，拆除了原中医院的污水处理装置，并对院内建筑进行了更新改造。</w:t>
            </w:r>
            <w:r>
              <w:rPr>
                <w:rFonts w:hint="eastAsia" w:ascii="宋体" w:hAnsi="宋体" w:cs="宋体"/>
                <w:color w:val="auto"/>
                <w:kern w:val="0"/>
                <w:sz w:val="24"/>
                <w:szCs w:val="24"/>
                <w:lang w:val="en-US" w:eastAsia="zh-CN" w:bidi="ar"/>
              </w:rPr>
              <w:t>施工期不存在遗留环境问题。</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项目已建成运营，运营期主要环境问题及整改措施如下：</w:t>
            </w:r>
          </w:p>
          <w:p>
            <w:pPr>
              <w:keepNext w:val="0"/>
              <w:keepLines w:val="0"/>
              <w:widowControl/>
              <w:suppressLineNumbers w:val="0"/>
              <w:spacing w:line="360" w:lineRule="auto"/>
              <w:ind w:firstLine="482" w:firstLineChars="20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（1）环境问题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①</w:t>
            </w:r>
            <w:r>
              <w:rPr>
                <w:rFonts w:hint="eastAsia" w:ascii="宋体" w:hAnsi="宋体" w:eastAsia="宋体" w:cs="宋体"/>
                <w:color w:val="auto"/>
                <w:sz w:val="24"/>
                <w:szCs w:val="24"/>
              </w:rPr>
              <w:t>检验科产生的酸性废水</w:t>
            </w:r>
            <w:r>
              <w:rPr>
                <w:rFonts w:hint="eastAsia" w:ascii="宋体" w:hAnsi="宋体" w:eastAsia="宋体" w:cs="宋体"/>
                <w:color w:val="auto"/>
                <w:sz w:val="24"/>
                <w:szCs w:val="24"/>
                <w:lang w:val="en-US" w:eastAsia="zh-CN"/>
              </w:rPr>
              <w:t>未经预处理</w:t>
            </w:r>
            <w:r>
              <w:rPr>
                <w:rFonts w:hint="eastAsia" w:ascii="宋体" w:hAnsi="宋体" w:eastAsia="宋体" w:cs="宋体"/>
                <w:color w:val="auto"/>
                <w:sz w:val="24"/>
                <w:szCs w:val="24"/>
              </w:rPr>
              <w:t>与其他医疗废水、生活污水一起</w:t>
            </w:r>
            <w:r>
              <w:rPr>
                <w:rFonts w:hint="eastAsia" w:ascii="宋体" w:hAnsi="宋体" w:eastAsia="宋体" w:cs="宋体"/>
                <w:color w:val="auto"/>
                <w:sz w:val="24"/>
                <w:szCs w:val="24"/>
                <w:lang w:val="en-US" w:eastAsia="zh-CN"/>
              </w:rPr>
              <w:t>排入化粪池及污水处理装置处理，</w:t>
            </w:r>
            <w:r>
              <w:rPr>
                <w:rFonts w:hint="eastAsia" w:ascii="宋体" w:hAnsi="宋体" w:eastAsia="宋体" w:cs="宋体"/>
                <w:color w:val="auto"/>
                <w:sz w:val="24"/>
                <w:szCs w:val="24"/>
              </w:rPr>
              <w:t>不符合医疗机构污水排放要求。</w:t>
            </w:r>
          </w:p>
          <w:p>
            <w:pPr>
              <w:spacing w:line="360" w:lineRule="auto"/>
              <w:ind w:firstLine="480" w:firstLineChars="200"/>
              <w:contextualSpacing/>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②医疗废物收集桶上未贴有分类标识标签。</w:t>
            </w:r>
          </w:p>
          <w:p>
            <w:pPr>
              <w:spacing w:line="360" w:lineRule="auto"/>
              <w:ind w:firstLine="480" w:firstLineChars="200"/>
              <w:contextualSpacing/>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③污泥属于危险废物，未委托资质单位处置，直接运至垃圾处理站。</w:t>
            </w:r>
          </w:p>
          <w:p>
            <w:pPr>
              <w:spacing w:line="360" w:lineRule="auto"/>
              <w:ind w:firstLine="480" w:firstLineChars="200"/>
              <w:contextualSpacing/>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④医疗污水未按《排污单位自行监测技术指南》要求制定监测方案。</w:t>
            </w:r>
          </w:p>
          <w:p>
            <w:pPr>
              <w:spacing w:line="360" w:lineRule="auto"/>
              <w:ind w:firstLine="480" w:firstLineChars="200"/>
              <w:contextualSpacing/>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⑤未进行固定污染源排污许可登记，排污口未设置提示标识牌。</w:t>
            </w:r>
          </w:p>
          <w:p>
            <w:pPr>
              <w:spacing w:line="360" w:lineRule="auto"/>
              <w:ind w:firstLine="480" w:firstLineChars="200"/>
              <w:contextualSpacing/>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⑥污水处理站未建设事故水池。</w:t>
            </w:r>
          </w:p>
          <w:p>
            <w:pPr>
              <w:spacing w:line="360" w:lineRule="auto"/>
              <w:ind w:firstLine="480" w:firstLineChars="200"/>
              <w:contextualSpacing/>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⑦</w:t>
            </w:r>
            <w:r>
              <w:rPr>
                <w:rFonts w:hint="eastAsia" w:ascii="宋体" w:hAnsi="宋体" w:cs="宋体"/>
                <w:color w:val="auto"/>
                <w:sz w:val="24"/>
                <w:szCs w:val="24"/>
                <w:lang w:val="en-US" w:eastAsia="zh-CN"/>
              </w:rPr>
              <w:t>卫生院现有污水处理站事故情况应急预案，</w:t>
            </w:r>
            <w:r>
              <w:rPr>
                <w:rFonts w:hint="eastAsia" w:ascii="宋体" w:hAnsi="宋体" w:eastAsia="宋体" w:cs="宋体"/>
                <w:color w:val="auto"/>
                <w:sz w:val="24"/>
                <w:szCs w:val="24"/>
                <w:lang w:val="en-US" w:eastAsia="zh-CN"/>
              </w:rPr>
              <w:t>未编制</w:t>
            </w:r>
            <w:r>
              <w:rPr>
                <w:rFonts w:hint="eastAsia" w:ascii="宋体" w:hAnsi="宋体" w:cs="宋体"/>
                <w:color w:val="auto"/>
                <w:sz w:val="24"/>
                <w:szCs w:val="24"/>
                <w:lang w:val="en-US" w:eastAsia="zh-CN"/>
              </w:rPr>
              <w:t>综合性</w:t>
            </w:r>
            <w:r>
              <w:rPr>
                <w:rFonts w:hint="eastAsia" w:ascii="宋体" w:hAnsi="宋体" w:eastAsia="宋体" w:cs="宋体"/>
                <w:color w:val="auto"/>
                <w:sz w:val="24"/>
                <w:szCs w:val="24"/>
                <w:lang w:val="en-US" w:eastAsia="zh-CN"/>
              </w:rPr>
              <w:t>突发环境事件应急预案</w:t>
            </w:r>
            <w:r>
              <w:rPr>
                <w:rFonts w:hint="eastAsia" w:ascii="宋体" w:hAnsi="宋体" w:cs="宋体"/>
                <w:color w:val="auto"/>
                <w:sz w:val="24"/>
                <w:szCs w:val="24"/>
                <w:lang w:val="en-US" w:eastAsia="zh-CN"/>
              </w:rPr>
              <w:t>。</w:t>
            </w:r>
          </w:p>
          <w:p>
            <w:pPr>
              <w:spacing w:line="360" w:lineRule="auto"/>
              <w:ind w:firstLine="480" w:firstLineChars="200"/>
              <w:contextualSpacing/>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⑧本项目医疗废物2天清运一次，不符合《医疗废物处理处置污染控制标准》“处理处置单位对感染性、损伤性、病理性废物的贮存应符合以下要求：a）贮存温度≥5℃，贮存时间不得超过24小时”。</w:t>
            </w:r>
          </w:p>
          <w:p>
            <w:pPr>
              <w:pStyle w:val="16"/>
              <w:spacing w:line="360" w:lineRule="auto"/>
              <w:ind w:firstLine="480" w:firstLineChars="200"/>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⑨项目现有药物性废物是送去勐海垃圾场填埋处理，不符合生活垃圾及医疗废物处置要求。</w:t>
            </w:r>
          </w:p>
          <w:p>
            <w:pPr>
              <w:keepNext w:val="0"/>
              <w:keepLines w:val="0"/>
              <w:widowControl/>
              <w:suppressLineNumbers w:val="0"/>
              <w:spacing w:line="360" w:lineRule="auto"/>
              <w:ind w:firstLine="482" w:firstLineChars="20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（2）整改措施</w:t>
            </w:r>
          </w:p>
          <w:p>
            <w:pPr>
              <w:spacing w:line="360" w:lineRule="auto"/>
              <w:ind w:firstLine="480" w:firstLineChars="200"/>
              <w:contextualSpacing/>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①环评提出在</w:t>
            </w:r>
            <w:r>
              <w:rPr>
                <w:rFonts w:hint="eastAsia" w:ascii="宋体" w:hAnsi="宋体" w:eastAsia="宋体" w:cs="宋体"/>
                <w:color w:val="auto"/>
                <w:sz w:val="24"/>
                <w:szCs w:val="24"/>
              </w:rPr>
              <w:t>项目使用专门的检验科废水</w:t>
            </w:r>
            <w:r>
              <w:rPr>
                <w:rFonts w:hint="eastAsia" w:ascii="宋体" w:hAnsi="宋体" w:eastAsia="宋体" w:cs="宋体"/>
                <w:color w:val="auto"/>
                <w:sz w:val="24"/>
                <w:szCs w:val="24"/>
                <w:lang w:eastAsia="zh-CN"/>
              </w:rPr>
              <w:t>处理</w:t>
            </w:r>
            <w:r>
              <w:rPr>
                <w:rFonts w:hint="eastAsia" w:ascii="宋体" w:hAnsi="宋体" w:eastAsia="宋体" w:cs="宋体"/>
                <w:color w:val="auto"/>
                <w:sz w:val="24"/>
                <w:szCs w:val="24"/>
              </w:rPr>
              <w:t>桶进行收集，投加</w:t>
            </w:r>
            <w:r>
              <w:rPr>
                <w:rFonts w:hint="eastAsia" w:ascii="宋体" w:hAnsi="宋体" w:eastAsia="宋体" w:cs="宋体"/>
                <w:color w:val="auto"/>
                <w:sz w:val="24"/>
                <w:szCs w:val="24"/>
                <w:lang w:eastAsia="zh-CN"/>
              </w:rPr>
              <w:t>含氯消毒</w:t>
            </w:r>
            <w:r>
              <w:rPr>
                <w:rFonts w:hint="eastAsia" w:ascii="宋体" w:hAnsi="宋体" w:eastAsia="宋体" w:cs="宋体"/>
                <w:color w:val="auto"/>
                <w:sz w:val="24"/>
                <w:szCs w:val="24"/>
              </w:rPr>
              <w:t>液进行消毒</w:t>
            </w:r>
            <w:r>
              <w:rPr>
                <w:rFonts w:hint="eastAsia" w:ascii="宋体" w:hAnsi="宋体" w:eastAsia="宋体" w:cs="宋体"/>
                <w:color w:val="auto"/>
                <w:sz w:val="24"/>
                <w:szCs w:val="24"/>
                <w:lang w:val="en-US" w:eastAsia="zh-CN"/>
              </w:rPr>
              <w:t>后</w:t>
            </w:r>
            <w:r>
              <w:rPr>
                <w:rFonts w:hint="eastAsia" w:ascii="宋体" w:hAnsi="宋体" w:eastAsia="宋体" w:cs="宋体"/>
                <w:color w:val="auto"/>
                <w:sz w:val="24"/>
                <w:szCs w:val="24"/>
              </w:rPr>
              <w:t>再加入</w:t>
            </w:r>
            <w:r>
              <w:rPr>
                <w:rFonts w:hint="eastAsia" w:ascii="宋体" w:hAnsi="宋体" w:eastAsia="宋体" w:cs="宋体"/>
                <w:color w:val="auto"/>
                <w:sz w:val="24"/>
                <w:szCs w:val="24"/>
                <w:lang w:eastAsia="zh-CN"/>
              </w:rPr>
              <w:t>碱性</w:t>
            </w:r>
            <w:r>
              <w:rPr>
                <w:rFonts w:hint="eastAsia" w:ascii="宋体" w:hAnsi="宋体" w:eastAsia="宋体" w:cs="宋体"/>
                <w:color w:val="auto"/>
                <w:sz w:val="24"/>
                <w:szCs w:val="24"/>
              </w:rPr>
              <w:t>溶液进行中和处理，</w:t>
            </w:r>
            <w:r>
              <w:rPr>
                <w:rFonts w:hint="eastAsia" w:ascii="宋体" w:hAnsi="宋体" w:eastAsia="宋体" w:cs="宋体"/>
                <w:color w:val="auto"/>
                <w:sz w:val="24"/>
                <w:szCs w:val="24"/>
                <w:lang w:val="en-US" w:eastAsia="zh-CN"/>
              </w:rPr>
              <w:t>再与其他医疗废水一起</w:t>
            </w:r>
            <w:r>
              <w:rPr>
                <w:rFonts w:hint="eastAsia" w:ascii="宋体" w:hAnsi="宋体" w:eastAsia="宋体" w:cs="宋体"/>
                <w:color w:val="auto"/>
                <w:sz w:val="24"/>
                <w:szCs w:val="24"/>
              </w:rPr>
              <w:t>进入化粪池处理后排入</w:t>
            </w:r>
            <w:r>
              <w:rPr>
                <w:rFonts w:hint="eastAsia" w:ascii="宋体" w:hAnsi="宋体" w:eastAsia="宋体" w:cs="宋体"/>
                <w:color w:val="auto"/>
                <w:sz w:val="24"/>
                <w:szCs w:val="24"/>
                <w:lang w:eastAsia="zh-CN"/>
              </w:rPr>
              <w:t>一体化</w:t>
            </w:r>
            <w:r>
              <w:rPr>
                <w:rFonts w:hint="eastAsia" w:ascii="宋体" w:hAnsi="宋体" w:eastAsia="宋体" w:cs="宋体"/>
                <w:color w:val="auto"/>
                <w:sz w:val="24"/>
                <w:szCs w:val="24"/>
              </w:rPr>
              <w:t>污水处理</w:t>
            </w:r>
            <w:r>
              <w:rPr>
                <w:rFonts w:hint="eastAsia" w:ascii="宋体" w:hAnsi="宋体" w:eastAsia="宋体" w:cs="宋体"/>
                <w:color w:val="auto"/>
                <w:sz w:val="24"/>
                <w:szCs w:val="24"/>
                <w:lang w:eastAsia="zh-CN"/>
              </w:rPr>
              <w:t>设施</w:t>
            </w:r>
            <w:r>
              <w:rPr>
                <w:rFonts w:hint="eastAsia" w:ascii="宋体" w:hAnsi="宋体" w:eastAsia="宋体" w:cs="宋体"/>
                <w:color w:val="auto"/>
                <w:sz w:val="24"/>
                <w:szCs w:val="24"/>
              </w:rPr>
              <w:t>。</w:t>
            </w:r>
          </w:p>
          <w:p>
            <w:pPr>
              <w:pStyle w:val="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②医疗废物收集桶上须贴上分类标识标签。</w:t>
            </w:r>
          </w:p>
          <w:p>
            <w:pPr>
              <w:pStyle w:val="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③对污泥进行消毒，自然干化后，委托资质单位处置。</w:t>
            </w:r>
          </w:p>
          <w:p>
            <w:pPr>
              <w:pStyle w:val="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④医疗污水按《排污单位自行监测技术指南》要求制定监测方案。</w:t>
            </w:r>
          </w:p>
          <w:p>
            <w:pPr>
              <w:pStyle w:val="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⑤尽快落实固定污染源排污许可登记，在排污口设置规范的提示标识牌。</w:t>
            </w:r>
          </w:p>
          <w:p>
            <w:pPr>
              <w:pStyle w:val="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⑥根据《医院污水处理工程技术规范》（HJ2029-2013）中12.4.1要求，非传染性医院污水处理工程应急事故池容积不小于日排放量的30%，项目废水日排放量为7.602m</w:t>
            </w:r>
            <w:r>
              <w:rPr>
                <w:rFonts w:hint="eastAsia" w:ascii="宋体" w:hAnsi="宋体" w:eastAsia="宋体" w:cs="宋体"/>
                <w:color w:val="auto"/>
                <w:sz w:val="24"/>
                <w:szCs w:val="24"/>
                <w:vertAlign w:val="superscript"/>
                <w:lang w:val="en-US" w:eastAsia="zh-CN"/>
              </w:rPr>
              <w:t>3</w:t>
            </w:r>
            <w:r>
              <w:rPr>
                <w:rFonts w:hint="eastAsia" w:ascii="宋体" w:hAnsi="宋体" w:eastAsia="宋体" w:cs="宋体"/>
                <w:color w:val="auto"/>
                <w:sz w:val="24"/>
                <w:szCs w:val="24"/>
                <w:lang w:val="en-US" w:eastAsia="zh-CN"/>
              </w:rPr>
              <w:t>/d，因此项目应在一体化污水处理设备附近设置1个</w:t>
            </w:r>
            <w:r>
              <w:rPr>
                <w:rFonts w:hint="eastAsia" w:ascii="宋体" w:hAnsi="宋体" w:cs="宋体"/>
                <w:color w:val="auto"/>
                <w:sz w:val="24"/>
                <w:szCs w:val="24"/>
                <w:lang w:val="en-US" w:eastAsia="zh-CN"/>
              </w:rPr>
              <w:t>容积</w:t>
            </w:r>
            <w:r>
              <w:rPr>
                <w:rFonts w:hint="eastAsia" w:ascii="宋体" w:hAnsi="宋体" w:eastAsia="宋体" w:cs="宋体"/>
                <w:color w:val="auto"/>
                <w:sz w:val="24"/>
                <w:szCs w:val="24"/>
                <w:lang w:val="en-US" w:eastAsia="zh-CN"/>
              </w:rPr>
              <w:t>不小于3m</w:t>
            </w:r>
            <w:r>
              <w:rPr>
                <w:rFonts w:hint="eastAsia" w:ascii="宋体" w:hAnsi="宋体" w:eastAsia="宋体" w:cs="宋体"/>
                <w:color w:val="auto"/>
                <w:sz w:val="24"/>
                <w:szCs w:val="24"/>
                <w:vertAlign w:val="superscript"/>
                <w:lang w:val="en-US" w:eastAsia="zh-CN"/>
              </w:rPr>
              <w:t>3</w:t>
            </w:r>
            <w:r>
              <w:rPr>
                <w:rFonts w:hint="eastAsia" w:ascii="宋体" w:hAnsi="宋体" w:cs="宋体"/>
                <w:color w:val="auto"/>
                <w:sz w:val="24"/>
                <w:szCs w:val="24"/>
                <w:vertAlign w:val="baseline"/>
                <w:lang w:val="en-US" w:eastAsia="zh-CN"/>
              </w:rPr>
              <w:t>的</w:t>
            </w:r>
            <w:r>
              <w:rPr>
                <w:rFonts w:hint="eastAsia" w:ascii="宋体" w:hAnsi="宋体" w:eastAsia="宋体" w:cs="宋体"/>
                <w:color w:val="auto"/>
                <w:sz w:val="24"/>
                <w:szCs w:val="24"/>
                <w:lang w:val="en-US" w:eastAsia="zh-CN"/>
              </w:rPr>
              <w:t>废水事故池，位于项目污水处理站附近，用于存储事故状态废水。对地面和1米高的墙裙进行防渗处理，采用2mm厚高密度聚乙烯防渗材料，渗透系数≤1.0×10</w:t>
            </w:r>
            <w:r>
              <w:rPr>
                <w:rFonts w:hint="eastAsia" w:ascii="宋体" w:hAnsi="宋体" w:eastAsia="宋体" w:cs="宋体"/>
                <w:color w:val="auto"/>
                <w:sz w:val="24"/>
                <w:szCs w:val="24"/>
                <w:vertAlign w:val="superscript"/>
                <w:lang w:val="en-US" w:eastAsia="zh-CN"/>
              </w:rPr>
              <w:t>-</w:t>
            </w:r>
            <w:r>
              <w:rPr>
                <w:rFonts w:hint="eastAsia" w:ascii="宋体" w:hAnsi="宋体" w:cs="宋体"/>
                <w:color w:val="auto"/>
                <w:sz w:val="24"/>
                <w:szCs w:val="24"/>
                <w:vertAlign w:val="superscript"/>
                <w:lang w:val="en-US" w:eastAsia="zh-CN"/>
              </w:rPr>
              <w:t>7</w:t>
            </w:r>
            <w:r>
              <w:rPr>
                <w:rFonts w:hint="eastAsia" w:ascii="宋体" w:hAnsi="宋体" w:eastAsia="宋体" w:cs="宋体"/>
                <w:color w:val="auto"/>
                <w:sz w:val="24"/>
                <w:szCs w:val="24"/>
                <w:lang w:val="en-US" w:eastAsia="zh-CN"/>
              </w:rPr>
              <w:t>cm/s。</w:t>
            </w:r>
          </w:p>
          <w:p>
            <w:pPr>
              <w:pStyle w:val="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⑦</w:t>
            </w:r>
            <w:r>
              <w:rPr>
                <w:rFonts w:hint="eastAsia" w:ascii="宋体" w:hAnsi="宋体" w:eastAsia="宋体" w:cs="宋体"/>
                <w:color w:val="auto"/>
                <w:sz w:val="24"/>
                <w:szCs w:val="24"/>
                <w:highlight w:val="none"/>
              </w:rPr>
              <w:t>建设</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应按照环发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2015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4号文《企业事业单位突发环境事件应急预案备案管理办法（试行）》中的</w:t>
            </w:r>
            <w:r>
              <w:rPr>
                <w:rFonts w:hint="eastAsia" w:ascii="宋体" w:hAnsi="宋体" w:eastAsia="宋体" w:cs="宋体"/>
                <w:color w:val="auto"/>
                <w:sz w:val="24"/>
                <w:szCs w:val="24"/>
                <w:highlight w:val="none"/>
                <w:lang w:val="en-US" w:eastAsia="zh-CN"/>
              </w:rPr>
              <w:t>相关</w:t>
            </w:r>
            <w:r>
              <w:rPr>
                <w:rFonts w:hint="eastAsia" w:ascii="宋体" w:hAnsi="宋体" w:eastAsia="宋体" w:cs="宋体"/>
                <w:color w:val="auto"/>
                <w:sz w:val="24"/>
                <w:szCs w:val="24"/>
                <w:highlight w:val="none"/>
              </w:rPr>
              <w:t>要求编制应急预案，报</w:t>
            </w:r>
            <w:r>
              <w:rPr>
                <w:rFonts w:hint="eastAsia" w:ascii="宋体" w:hAnsi="宋体" w:eastAsia="宋体" w:cs="宋体"/>
                <w:color w:val="auto"/>
                <w:sz w:val="24"/>
                <w:szCs w:val="24"/>
                <w:highlight w:val="none"/>
                <w:lang w:val="en-US" w:eastAsia="zh-CN"/>
              </w:rPr>
              <w:t>勐海县环保局</w:t>
            </w:r>
            <w:r>
              <w:rPr>
                <w:rFonts w:hint="eastAsia" w:ascii="宋体" w:hAnsi="宋体" w:eastAsia="宋体" w:cs="宋体"/>
                <w:color w:val="auto"/>
                <w:sz w:val="24"/>
                <w:szCs w:val="24"/>
                <w:highlight w:val="none"/>
              </w:rPr>
              <w:t>进行备案。同时在项目运营过程中，严格按照风险应急预案的要求做好相关预防工作，并做好相应应急准备工作。</w:t>
            </w:r>
          </w:p>
          <w:p>
            <w:pPr>
              <w:pStyle w:val="16"/>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⑧</w:t>
            </w:r>
            <w:r>
              <w:rPr>
                <w:rFonts w:hint="eastAsia" w:ascii="宋体" w:hAnsi="宋体" w:eastAsia="宋体" w:cs="宋体"/>
                <w:color w:val="auto"/>
                <w:sz w:val="24"/>
                <w:szCs w:val="24"/>
                <w:highlight w:val="none"/>
              </w:rPr>
              <w:t>建设</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应</w:t>
            </w:r>
            <w:r>
              <w:rPr>
                <w:rFonts w:hint="eastAsia" w:ascii="宋体" w:hAnsi="宋体" w:eastAsia="宋体" w:cs="宋体"/>
                <w:color w:val="auto"/>
                <w:sz w:val="24"/>
                <w:szCs w:val="24"/>
                <w:highlight w:val="none"/>
                <w:lang w:val="en-US" w:eastAsia="zh-CN"/>
              </w:rPr>
              <w:t>要求医疗废物清运单位1天清运一次，</w:t>
            </w:r>
            <w:r>
              <w:rPr>
                <w:rFonts w:hint="eastAsia" w:ascii="宋体" w:hAnsi="宋体" w:eastAsia="宋体" w:cs="宋体"/>
                <w:color w:val="auto"/>
                <w:sz w:val="24"/>
                <w:szCs w:val="24"/>
                <w:lang w:val="en-US" w:eastAsia="zh-CN"/>
              </w:rPr>
              <w:t>感染性、损伤性、病理性废物</w:t>
            </w:r>
            <w:r>
              <w:rPr>
                <w:rFonts w:hint="eastAsia" w:ascii="宋体" w:hAnsi="宋体" w:eastAsia="宋体" w:cs="宋体"/>
                <w:color w:val="auto"/>
                <w:sz w:val="24"/>
                <w:szCs w:val="24"/>
                <w:highlight w:val="none"/>
                <w:lang w:val="en-US" w:eastAsia="zh-CN"/>
              </w:rPr>
              <w:t>暂存时间不得超过24小时。</w:t>
            </w:r>
          </w:p>
          <w:p>
            <w:pPr>
              <w:pStyle w:val="16"/>
              <w:spacing w:line="360" w:lineRule="auto"/>
              <w:ind w:firstLine="480" w:firstLineChars="200"/>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⑨鉴于项目现有药物性废物产生量较少，约1kg/a，根据</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医疗废物分类目录</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2021年版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lang w:val="en-US" w:eastAsia="zh-CN" w:bidi="ar-SA"/>
              </w:rPr>
              <w:t>1.少量的药物性废物可以并入感染性废物中，但应在标签中注明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建设单位可将药物性废物并入感染性废物中，并在标签中注明，委托资质单位处置。</w:t>
            </w:r>
          </w:p>
          <w:p>
            <w:pPr>
              <w:pStyle w:val="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p>
        </w:tc>
      </w:tr>
    </w:tbl>
    <w:p>
      <w:pPr>
        <w:pStyle w:val="21"/>
        <w:jc w:val="center"/>
        <w:rPr>
          <w:rFonts w:hint="eastAsia" w:ascii="宋体" w:hAnsi="宋体" w:eastAsia="宋体" w:cs="宋体"/>
          <w:snapToGrid w:val="0"/>
          <w:color w:val="auto"/>
          <w:sz w:val="24"/>
          <w:szCs w:val="24"/>
        </w:rPr>
        <w:sectPr>
          <w:pgSz w:w="11906" w:h="16838"/>
          <w:pgMar w:top="1701" w:right="1531" w:bottom="1701" w:left="1531" w:header="851" w:footer="851" w:gutter="0"/>
          <w:pgNumType w:fmt="decimal"/>
          <w:cols w:space="720" w:num="1"/>
          <w:docGrid w:linePitch="312" w:charSpace="0"/>
        </w:sectPr>
      </w:pPr>
    </w:p>
    <w:p>
      <w:pPr>
        <w:pStyle w:val="21"/>
        <w:jc w:val="center"/>
        <w:outlineLvl w:val="0"/>
        <w:rPr>
          <w:rFonts w:hint="eastAsia" w:ascii="宋体" w:hAnsi="宋体" w:eastAsia="宋体" w:cs="宋体"/>
          <w:snapToGrid w:val="0"/>
          <w:color w:val="auto"/>
          <w:sz w:val="32"/>
          <w:szCs w:val="32"/>
        </w:rPr>
      </w:pPr>
      <w:bookmarkStart w:id="13" w:name="_Toc16302"/>
      <w:bookmarkStart w:id="14" w:name="_Toc19992"/>
      <w:bookmarkStart w:id="15" w:name="_Toc27552"/>
      <w:r>
        <w:rPr>
          <w:rFonts w:hint="eastAsia" w:ascii="宋体" w:hAnsi="宋体" w:eastAsia="宋体" w:cs="宋体"/>
          <w:snapToGrid w:val="0"/>
          <w:color w:val="auto"/>
          <w:sz w:val="32"/>
          <w:szCs w:val="32"/>
        </w:rPr>
        <w:t>三、区域环境质量现状、环境保护目标及评价标准</w:t>
      </w:r>
      <w:bookmarkEnd w:id="13"/>
      <w:bookmarkEnd w:id="14"/>
      <w:bookmarkEnd w:id="15"/>
    </w:p>
    <w:tbl>
      <w:tblPr>
        <w:tblStyle w:val="26"/>
        <w:tblW w:w="899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14" w:hRule="atLeast"/>
          <w:jc w:val="center"/>
        </w:trPr>
        <w:tc>
          <w:tcPr>
            <w:tcW w:w="800" w:type="dxa"/>
            <w:vAlign w:val="center"/>
          </w:tcPr>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区域</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环境</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质量</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现状</w:t>
            </w:r>
          </w:p>
        </w:tc>
        <w:tc>
          <w:tcPr>
            <w:tcW w:w="8190" w:type="dxa"/>
            <w:vAlign w:val="center"/>
          </w:tcPr>
          <w:p>
            <w:pPr>
              <w:spacing w:before="120" w:beforeLines="50" w:line="360" w:lineRule="auto"/>
              <w:ind w:firstLine="482" w:firstLineChars="200"/>
              <w:rPr>
                <w:rFonts w:hint="eastAsia" w:ascii="宋体" w:hAnsi="宋体" w:eastAsia="宋体" w:cs="宋体"/>
                <w:b/>
                <w:bCs/>
                <w:color w:val="auto"/>
                <w:sz w:val="24"/>
                <w:szCs w:val="24"/>
              </w:rPr>
            </w:pPr>
            <w:bookmarkStart w:id="16" w:name="_Toc71731100"/>
            <w:bookmarkStart w:id="17" w:name="_Toc25081"/>
            <w:r>
              <w:rPr>
                <w:rFonts w:hint="eastAsia" w:ascii="宋体" w:hAnsi="宋体" w:cs="宋体"/>
                <w:b/>
                <w:bCs/>
                <w:color w:val="auto"/>
                <w:sz w:val="24"/>
                <w:szCs w:val="24"/>
                <w:lang w:val="en-US" w:eastAsia="zh-CN"/>
              </w:rPr>
              <w:t>3.1</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环境空气质量现状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建设项目位于勐海县勐海镇佛双路35号</w:t>
            </w:r>
            <w:r>
              <w:rPr>
                <w:rFonts w:hint="eastAsia" w:ascii="宋体" w:hAnsi="宋体" w:cs="宋体"/>
                <w:b w:val="0"/>
                <w:bCs w:val="0"/>
                <w:color w:val="auto"/>
                <w:sz w:val="24"/>
                <w:szCs w:val="24"/>
                <w:lang w:val="en-US" w:eastAsia="zh-CN"/>
              </w:rPr>
              <w:t>，</w:t>
            </w:r>
            <w:r>
              <w:rPr>
                <w:rFonts w:hint="eastAsia" w:ascii="宋体" w:hAnsi="宋体" w:eastAsia="宋体" w:cs="宋体"/>
                <w:color w:val="auto"/>
                <w:sz w:val="24"/>
                <w:szCs w:val="24"/>
              </w:rPr>
              <w:t>根据《202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年西双版纳傣族自治州生态环境状况公报》，勐海县环境空气质量有效监测天数为35</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天，其中为优的天数2</w:t>
            </w:r>
            <w:r>
              <w:rPr>
                <w:rFonts w:hint="eastAsia" w:ascii="宋体" w:hAnsi="宋体" w:eastAsia="宋体" w:cs="宋体"/>
                <w:color w:val="auto"/>
                <w:sz w:val="24"/>
                <w:szCs w:val="24"/>
                <w:lang w:val="en-US" w:eastAsia="zh-CN"/>
              </w:rPr>
              <w:t>92</w:t>
            </w:r>
            <w:r>
              <w:rPr>
                <w:rFonts w:hint="eastAsia" w:ascii="宋体" w:hAnsi="宋体" w:eastAsia="宋体" w:cs="宋体"/>
                <w:color w:val="auto"/>
                <w:sz w:val="24"/>
                <w:szCs w:val="24"/>
              </w:rPr>
              <w:t>天，占</w:t>
            </w:r>
            <w:r>
              <w:rPr>
                <w:rFonts w:hint="eastAsia" w:ascii="宋体" w:hAnsi="宋体" w:eastAsia="宋体" w:cs="宋体"/>
                <w:color w:val="auto"/>
                <w:sz w:val="24"/>
                <w:szCs w:val="24"/>
                <w:lang w:val="en-US" w:eastAsia="zh-CN"/>
              </w:rPr>
              <w:t>81.6</w:t>
            </w:r>
            <w:r>
              <w:rPr>
                <w:rFonts w:hint="eastAsia" w:ascii="宋体" w:hAnsi="宋体" w:eastAsia="宋体" w:cs="宋体"/>
                <w:color w:val="auto"/>
                <w:sz w:val="24"/>
                <w:szCs w:val="24"/>
              </w:rPr>
              <w:t>%，为良的天数</w:t>
            </w:r>
            <w:r>
              <w:rPr>
                <w:rFonts w:hint="eastAsia" w:ascii="宋体" w:hAnsi="宋体" w:eastAsia="宋体" w:cs="宋体"/>
                <w:color w:val="auto"/>
                <w:sz w:val="24"/>
                <w:szCs w:val="24"/>
                <w:lang w:val="en-US" w:eastAsia="zh-CN"/>
              </w:rPr>
              <w:t>65</w:t>
            </w:r>
            <w:r>
              <w:rPr>
                <w:rFonts w:hint="eastAsia" w:ascii="宋体" w:hAnsi="宋体" w:eastAsia="宋体" w:cs="宋体"/>
                <w:color w:val="auto"/>
                <w:sz w:val="24"/>
                <w:szCs w:val="24"/>
              </w:rPr>
              <w:t>天，占</w:t>
            </w:r>
            <w:r>
              <w:rPr>
                <w:rFonts w:hint="eastAsia" w:ascii="宋体" w:hAnsi="宋体" w:eastAsia="宋体" w:cs="宋体"/>
                <w:color w:val="auto"/>
                <w:sz w:val="24"/>
                <w:szCs w:val="24"/>
                <w:lang w:val="en-US" w:eastAsia="zh-CN"/>
              </w:rPr>
              <w:t>18.1</w:t>
            </w:r>
            <w:r>
              <w:rPr>
                <w:rFonts w:hint="eastAsia" w:ascii="宋体" w:hAnsi="宋体" w:eastAsia="宋体" w:cs="宋体"/>
                <w:color w:val="auto"/>
                <w:sz w:val="24"/>
                <w:szCs w:val="24"/>
              </w:rPr>
              <w:t>%。优良率9</w:t>
            </w:r>
            <w:r>
              <w:rPr>
                <w:rFonts w:hint="eastAsia" w:ascii="宋体" w:hAnsi="宋体" w:eastAsia="宋体" w:cs="宋体"/>
                <w:color w:val="auto"/>
                <w:sz w:val="24"/>
                <w:szCs w:val="24"/>
                <w:lang w:val="en-US" w:eastAsia="zh-CN"/>
              </w:rPr>
              <w:t>9.7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主要污染物PM2.5年均值为17</w:t>
            </w:r>
            <w:r>
              <w:rPr>
                <w:rFonts w:hint="eastAsia" w:ascii="宋体" w:hAnsi="宋体" w:eastAsia="宋体" w:cs="宋体"/>
                <w:color w:val="auto"/>
                <w:sz w:val="24"/>
                <w:szCs w:val="24"/>
              </w:rPr>
              <w:t>μg/m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。大气环境满足GB3095-2012《环境空气质量标准》二级标准，为达标区域。</w:t>
            </w:r>
          </w:p>
          <w:p>
            <w:pPr>
              <w:pStyle w:val="22"/>
              <w:spacing w:line="360" w:lineRule="auto"/>
              <w:ind w:firstLine="482" w:firstLineChars="200"/>
              <w:rPr>
                <w:rFonts w:hint="eastAsia" w:ascii="宋体" w:hAnsi="宋体" w:eastAsia="宋体" w:cs="宋体"/>
                <w:color w:val="auto"/>
                <w:sz w:val="24"/>
                <w:szCs w:val="24"/>
              </w:rPr>
            </w:pPr>
            <w:bookmarkStart w:id="18" w:name="_Toc21852"/>
            <w:bookmarkStart w:id="19" w:name="_Toc26510"/>
            <w:bookmarkStart w:id="20" w:name="_Toc20648"/>
            <w:bookmarkStart w:id="21" w:name="_Toc23097"/>
            <w:bookmarkStart w:id="22" w:name="_Toc2327"/>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2.水环境</w:t>
            </w:r>
            <w:bookmarkEnd w:id="16"/>
            <w:bookmarkEnd w:id="17"/>
            <w:bookmarkEnd w:id="18"/>
            <w:bookmarkEnd w:id="19"/>
            <w:bookmarkEnd w:id="20"/>
            <w:r>
              <w:rPr>
                <w:rFonts w:hint="eastAsia" w:ascii="宋体" w:hAnsi="宋体" w:eastAsia="宋体" w:cs="宋体"/>
                <w:color w:val="auto"/>
                <w:sz w:val="24"/>
                <w:szCs w:val="24"/>
              </w:rPr>
              <w:t>质量现状</w:t>
            </w:r>
            <w:bookmarkEnd w:id="21"/>
            <w:bookmarkEnd w:id="22"/>
          </w:p>
          <w:p>
            <w:pPr>
              <w:pStyle w:val="16"/>
              <w:adjustRightInd w:val="0"/>
              <w:snapToGrid w:val="0"/>
              <w:spacing w:line="360" w:lineRule="auto"/>
              <w:ind w:firstLine="472" w:firstLineChars="200"/>
              <w:rPr>
                <w:rFonts w:ascii="Times New Roman" w:hAnsi="Times New Roman" w:eastAsia="方正仿宋_GBK"/>
                <w:sz w:val="32"/>
                <w:szCs w:val="32"/>
              </w:rPr>
            </w:pPr>
            <w:r>
              <w:rPr>
                <w:rFonts w:hint="eastAsia" w:ascii="宋体" w:hAnsi="宋体" w:cs="宋体"/>
                <w:color w:val="auto"/>
                <w:spacing w:val="-2"/>
                <w:sz w:val="24"/>
                <w:szCs w:val="24"/>
                <w:lang w:val="en-US" w:eastAsia="zh-CN"/>
              </w:rPr>
              <w:t>项目所在地区域的最近的地表水体为北侧400m处的南海河，南海河为流沙河支流。根据《云南省水功能区划（2014年修订）》，项目区属于“流沙河勐海工业、农业用水区”，由源头至勐海水文站，全长70.2km，水体功能主要为工业用水，兼有农灌用水。2030年规划水平年水质目标为Ⅲ类。根据支流不低于干流原则，南海河参照干流的流沙河为Ⅲ类水体，执行《地表水环境质量标准》（GB3838-2002）Ⅲ类水质标准。项目区最近的监测断面为流沙河勐海水文站，</w:t>
            </w:r>
            <w:r>
              <w:rPr>
                <w:rFonts w:hint="eastAsia" w:ascii="宋体" w:hAnsi="宋体" w:cs="宋体"/>
                <w:color w:val="auto"/>
                <w:spacing w:val="-2"/>
                <w:sz w:val="24"/>
                <w:lang w:val="en-US" w:eastAsia="zh-CN"/>
              </w:rPr>
              <w:t>位于项目西侧约1.1km。</w:t>
            </w:r>
            <w:r>
              <w:rPr>
                <w:rFonts w:hint="eastAsia" w:ascii="宋体" w:hAnsi="宋体" w:eastAsia="宋体" w:cs="宋体"/>
                <w:color w:val="auto"/>
                <w:spacing w:val="-2"/>
                <w:sz w:val="24"/>
                <w:szCs w:val="24"/>
              </w:rPr>
              <w:t>根据《202</w:t>
            </w:r>
            <w:r>
              <w:rPr>
                <w:rFonts w:hint="eastAsia" w:ascii="宋体" w:hAnsi="宋体" w:eastAsia="宋体" w:cs="宋体"/>
                <w:color w:val="auto"/>
                <w:spacing w:val="-2"/>
                <w:sz w:val="24"/>
                <w:szCs w:val="24"/>
                <w:lang w:val="en-US" w:eastAsia="zh-CN"/>
              </w:rPr>
              <w:t>2</w:t>
            </w:r>
            <w:r>
              <w:rPr>
                <w:rFonts w:hint="eastAsia" w:ascii="宋体" w:hAnsi="宋体" w:eastAsia="宋体" w:cs="宋体"/>
                <w:color w:val="auto"/>
                <w:spacing w:val="-2"/>
                <w:sz w:val="24"/>
                <w:szCs w:val="24"/>
              </w:rPr>
              <w:t>年西双版纳傣族自治州生态环境质量状况年报》，全州12个国控、省控地表水监测断面水质优良</w:t>
            </w:r>
            <w:r>
              <w:rPr>
                <w:rFonts w:hint="eastAsia" w:ascii="宋体" w:hAnsi="宋体" w:eastAsia="宋体" w:cs="宋体"/>
                <w:color w:val="auto"/>
                <w:spacing w:val="-2"/>
                <w:sz w:val="24"/>
                <w:szCs w:val="24"/>
                <w:lang w:eastAsia="zh-CN"/>
              </w:rPr>
              <w:t>（</w:t>
            </w:r>
            <w:r>
              <w:rPr>
                <w:rFonts w:hint="eastAsia" w:ascii="宋体" w:hAnsi="宋体" w:eastAsia="宋体" w:cs="宋体"/>
                <w:color w:val="auto"/>
                <w:spacing w:val="-2"/>
                <w:sz w:val="24"/>
                <w:szCs w:val="24"/>
              </w:rPr>
              <w:t>Ⅰ一Ⅲ类</w:t>
            </w:r>
            <w:r>
              <w:rPr>
                <w:rFonts w:hint="eastAsia" w:ascii="宋体" w:hAnsi="宋体" w:eastAsia="宋体" w:cs="宋体"/>
                <w:color w:val="auto"/>
                <w:spacing w:val="-2"/>
                <w:sz w:val="24"/>
                <w:szCs w:val="24"/>
                <w:lang w:eastAsia="zh-CN"/>
              </w:rPr>
              <w:t>）</w:t>
            </w:r>
            <w:r>
              <w:rPr>
                <w:rFonts w:hint="eastAsia" w:ascii="宋体" w:hAnsi="宋体" w:eastAsia="宋体" w:cs="宋体"/>
                <w:color w:val="auto"/>
                <w:spacing w:val="-2"/>
                <w:sz w:val="24"/>
                <w:szCs w:val="24"/>
              </w:rPr>
              <w:t>比率达到100%，其中</w:t>
            </w:r>
            <w:r>
              <w:rPr>
                <w:rFonts w:hint="eastAsia" w:ascii="宋体" w:hAnsi="宋体" w:eastAsia="宋体" w:cs="宋体"/>
                <w:color w:val="auto"/>
                <w:spacing w:val="-2"/>
                <w:sz w:val="24"/>
                <w:szCs w:val="24"/>
                <w:lang w:eastAsia="zh-CN"/>
              </w:rPr>
              <w:t>：</w:t>
            </w:r>
            <w:r>
              <w:rPr>
                <w:rFonts w:hint="eastAsia" w:ascii="宋体" w:hAnsi="宋体" w:eastAsia="宋体" w:cs="宋体"/>
                <w:color w:val="auto"/>
                <w:spacing w:val="-2"/>
                <w:sz w:val="24"/>
                <w:szCs w:val="24"/>
              </w:rPr>
              <w:t>Ⅱ类监测断面9个，占75%;Ⅲ类监测断面3个，占25%。水质状况与2021年同期基本持平，水环境质量持续并列全省第一。流沙河满足《地表水环境质量标准》（GB3838-2002）Ⅲ类水质标准。南海河最终汇入流沙河，因此项目区地表水体能满足Ⅲ类水功能要求。</w:t>
            </w:r>
          </w:p>
          <w:p>
            <w:pPr>
              <w:pStyle w:val="22"/>
              <w:spacing w:line="360" w:lineRule="auto"/>
              <w:ind w:firstLine="482" w:firstLineChars="200"/>
              <w:rPr>
                <w:rFonts w:hint="eastAsia" w:ascii="宋体" w:hAnsi="宋体" w:eastAsia="宋体" w:cs="宋体"/>
                <w:color w:val="auto"/>
                <w:sz w:val="24"/>
                <w:szCs w:val="24"/>
              </w:rPr>
            </w:pPr>
            <w:bookmarkStart w:id="23" w:name="_Toc2251"/>
            <w:bookmarkStart w:id="24" w:name="_Toc18600"/>
            <w:bookmarkStart w:id="25" w:name="_Toc71731101"/>
            <w:bookmarkStart w:id="26" w:name="_Toc8936"/>
            <w:bookmarkStart w:id="27" w:name="_Toc28703"/>
            <w:bookmarkStart w:id="28" w:name="_Toc1774"/>
            <w:bookmarkStart w:id="29" w:name="_Toc11139"/>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3.声环境</w:t>
            </w:r>
            <w:bookmarkEnd w:id="23"/>
            <w:bookmarkEnd w:id="24"/>
            <w:bookmarkEnd w:id="25"/>
            <w:bookmarkEnd w:id="26"/>
            <w:bookmarkEnd w:id="27"/>
            <w:r>
              <w:rPr>
                <w:rFonts w:hint="eastAsia" w:ascii="宋体" w:hAnsi="宋体" w:eastAsia="宋体" w:cs="宋体"/>
                <w:color w:val="auto"/>
                <w:sz w:val="24"/>
                <w:szCs w:val="24"/>
              </w:rPr>
              <w:t>质量现状</w:t>
            </w:r>
            <w:bookmarkEnd w:id="28"/>
            <w:bookmarkEnd w:id="29"/>
          </w:p>
          <w:p>
            <w:pPr>
              <w:adjustRightInd w:val="0"/>
              <w:snapToGrid w:val="0"/>
              <w:spacing w:line="360" w:lineRule="auto"/>
              <w:ind w:firstLine="56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建设项目位于勐海县勐海镇佛双路35号，厂界紧靠居住、商业混杂区，执行《声环境质量标准》（GB3096-2008）2类标准。卫生院内区域执行声环境1类标准限值。</w:t>
            </w:r>
          </w:p>
          <w:p>
            <w:pPr>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为了解项目区的声环境质量现状，本次环评委托了云南</w:t>
            </w:r>
            <w:r>
              <w:rPr>
                <w:rFonts w:hint="eastAsia" w:ascii="宋体" w:hAnsi="宋体" w:eastAsia="宋体" w:cs="宋体"/>
                <w:color w:val="auto"/>
                <w:sz w:val="24"/>
                <w:szCs w:val="24"/>
                <w:lang w:val="en-US" w:eastAsia="zh-CN"/>
              </w:rPr>
              <w:t>天籁</w:t>
            </w:r>
            <w:r>
              <w:rPr>
                <w:rFonts w:hint="eastAsia" w:ascii="宋体" w:hAnsi="宋体" w:eastAsia="宋体" w:cs="宋体"/>
                <w:color w:val="auto"/>
                <w:sz w:val="24"/>
                <w:szCs w:val="24"/>
              </w:rPr>
              <w:t>环保科技有限公司于202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日对项目</w:t>
            </w:r>
            <w:r>
              <w:rPr>
                <w:rFonts w:hint="eastAsia" w:ascii="宋体" w:hAnsi="宋体" w:cs="宋体"/>
                <w:color w:val="auto"/>
                <w:sz w:val="24"/>
                <w:szCs w:val="24"/>
                <w:lang w:val="en-US" w:eastAsia="zh-CN"/>
              </w:rPr>
              <w:t>区及</w:t>
            </w:r>
            <w:r>
              <w:rPr>
                <w:rFonts w:hint="eastAsia" w:ascii="宋体" w:hAnsi="宋体" w:eastAsia="宋体" w:cs="宋体"/>
                <w:color w:val="auto"/>
                <w:sz w:val="24"/>
                <w:szCs w:val="24"/>
              </w:rPr>
              <w:t>周边保护目标噪声进行了监测，</w:t>
            </w:r>
            <w:r>
              <w:rPr>
                <w:rFonts w:hint="eastAsia" w:ascii="宋体" w:hAnsi="宋体" w:eastAsia="宋体" w:cs="宋体"/>
                <w:color w:val="auto"/>
                <w:sz w:val="24"/>
                <w:szCs w:val="24"/>
                <w:lang w:val="en-US" w:eastAsia="zh-CN"/>
              </w:rPr>
              <w:t>监测期间，卫生院为正常运营状态。</w:t>
            </w:r>
            <w:r>
              <w:rPr>
                <w:rFonts w:hint="eastAsia" w:ascii="宋体" w:hAnsi="宋体" w:eastAsia="宋体" w:cs="宋体"/>
                <w:color w:val="auto"/>
                <w:sz w:val="24"/>
                <w:szCs w:val="24"/>
              </w:rPr>
              <w:t>项目噪声</w:t>
            </w:r>
            <w:r>
              <w:rPr>
                <w:rFonts w:hint="eastAsia" w:ascii="宋体" w:hAnsi="宋体" w:cs="宋体"/>
                <w:color w:val="auto"/>
                <w:sz w:val="24"/>
                <w:szCs w:val="24"/>
                <w:lang w:val="en-US" w:eastAsia="zh-CN"/>
              </w:rPr>
              <w:t>监测</w:t>
            </w:r>
            <w:r>
              <w:rPr>
                <w:rFonts w:hint="eastAsia" w:ascii="宋体" w:hAnsi="宋体" w:eastAsia="宋体" w:cs="宋体"/>
                <w:color w:val="auto"/>
                <w:sz w:val="24"/>
                <w:szCs w:val="24"/>
              </w:rPr>
              <w:t>结果见下表。</w:t>
            </w:r>
          </w:p>
          <w:p>
            <w:pPr>
              <w:adjustRightInd w:val="0"/>
              <w:snapToGrid w:val="0"/>
              <w:spacing w:line="360" w:lineRule="auto"/>
              <w:ind w:firstLine="560"/>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表3-1   项目噪声现状监测数据 单位dB（A）</w:t>
            </w:r>
          </w:p>
          <w:tbl>
            <w:tblPr>
              <w:tblStyle w:val="27"/>
              <w:tblW w:w="7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237"/>
              <w:gridCol w:w="969"/>
              <w:gridCol w:w="1003"/>
              <w:gridCol w:w="975"/>
              <w:gridCol w:w="994"/>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restart"/>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检测时间</w:t>
                  </w:r>
                </w:p>
              </w:tc>
              <w:tc>
                <w:tcPr>
                  <w:tcW w:w="2237" w:type="dxa"/>
                  <w:vMerge w:val="restart"/>
                  <w:shd w:val="clear" w:color="auto" w:fill="auto"/>
                  <w:vAlign w:val="center"/>
                </w:tcPr>
                <w:p>
                  <w:pPr>
                    <w:spacing w:line="240" w:lineRule="auto"/>
                    <w:ind w:firstLine="0" w:firstLineChars="0"/>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测点</w:t>
                  </w:r>
                </w:p>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lang w:eastAsia="zh-CN"/>
                    </w:rPr>
                    <w:t>名称</w:t>
                  </w:r>
                </w:p>
              </w:tc>
              <w:tc>
                <w:tcPr>
                  <w:tcW w:w="1972" w:type="dxa"/>
                  <w:gridSpan w:val="2"/>
                  <w:shd w:val="clear" w:color="auto" w:fill="auto"/>
                  <w:vAlign w:val="center"/>
                </w:tcPr>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监测结果dB（A）</w:t>
                  </w:r>
                </w:p>
              </w:tc>
              <w:tc>
                <w:tcPr>
                  <w:tcW w:w="1969" w:type="dxa"/>
                  <w:gridSpan w:val="2"/>
                  <w:shd w:val="clear" w:color="auto" w:fill="auto"/>
                  <w:vAlign w:val="center"/>
                </w:tcPr>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标准值dB（A）</w:t>
                  </w:r>
                </w:p>
              </w:tc>
              <w:tc>
                <w:tcPr>
                  <w:tcW w:w="741" w:type="dxa"/>
                  <w:vMerge w:val="restart"/>
                  <w:shd w:val="clear" w:color="auto" w:fill="auto"/>
                  <w:vAlign w:val="center"/>
                </w:tcPr>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shd w:val="clear" w:color="auto" w:fill="D7D7D7"/>
                  <w:vAlign w:val="center"/>
                </w:tcPr>
                <w:p>
                  <w:pPr>
                    <w:spacing w:line="240" w:lineRule="auto"/>
                    <w:ind w:firstLine="0" w:firstLineChars="0"/>
                    <w:jc w:val="center"/>
                    <w:rPr>
                      <w:rFonts w:hint="eastAsia" w:ascii="宋体" w:hAnsi="宋体" w:eastAsia="宋体" w:cs="宋体"/>
                      <w:b/>
                      <w:bCs/>
                      <w:color w:val="auto"/>
                      <w:sz w:val="18"/>
                      <w:szCs w:val="18"/>
                    </w:rPr>
                  </w:pPr>
                </w:p>
              </w:tc>
              <w:tc>
                <w:tcPr>
                  <w:tcW w:w="2237" w:type="dxa"/>
                  <w:vMerge w:val="continue"/>
                  <w:shd w:val="clear" w:color="auto" w:fill="D7D7D7"/>
                  <w:vAlign w:val="center"/>
                </w:tcPr>
                <w:p>
                  <w:pPr>
                    <w:spacing w:line="240" w:lineRule="auto"/>
                    <w:ind w:firstLine="0" w:firstLineChars="0"/>
                    <w:jc w:val="center"/>
                    <w:rPr>
                      <w:rFonts w:hint="eastAsia" w:ascii="宋体" w:hAnsi="宋体" w:eastAsia="宋体" w:cs="宋体"/>
                      <w:b/>
                      <w:bCs/>
                      <w:color w:val="auto"/>
                      <w:sz w:val="18"/>
                      <w:szCs w:val="18"/>
                    </w:rPr>
                  </w:pPr>
                </w:p>
              </w:tc>
              <w:tc>
                <w:tcPr>
                  <w:tcW w:w="969"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昼间</w:t>
                  </w:r>
                </w:p>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测值[dB(A)]</w:t>
                  </w:r>
                </w:p>
              </w:tc>
              <w:tc>
                <w:tcPr>
                  <w:tcW w:w="1003"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lang w:eastAsia="zh-CN"/>
                    </w:rPr>
                    <w:t>夜</w:t>
                  </w:r>
                  <w:r>
                    <w:rPr>
                      <w:rFonts w:hint="eastAsia" w:ascii="宋体" w:hAnsi="宋体" w:eastAsia="宋体" w:cs="宋体"/>
                      <w:b/>
                      <w:bCs/>
                      <w:color w:val="auto"/>
                      <w:sz w:val="18"/>
                      <w:szCs w:val="18"/>
                    </w:rPr>
                    <w:t>间</w:t>
                  </w:r>
                </w:p>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测值[dB(A)]</w:t>
                  </w:r>
                </w:p>
              </w:tc>
              <w:tc>
                <w:tcPr>
                  <w:tcW w:w="975"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昼间</w:t>
                  </w:r>
                </w:p>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rPr>
                    <w:t>[dB(A)]</w:t>
                  </w:r>
                </w:p>
              </w:tc>
              <w:tc>
                <w:tcPr>
                  <w:tcW w:w="994"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lang w:eastAsia="zh-CN"/>
                    </w:rPr>
                    <w:t>夜</w:t>
                  </w:r>
                  <w:r>
                    <w:rPr>
                      <w:rFonts w:hint="eastAsia" w:ascii="宋体" w:hAnsi="宋体" w:eastAsia="宋体" w:cs="宋体"/>
                      <w:b/>
                      <w:bCs/>
                      <w:color w:val="auto"/>
                      <w:sz w:val="18"/>
                      <w:szCs w:val="18"/>
                    </w:rPr>
                    <w:t>间</w:t>
                  </w:r>
                </w:p>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rPr>
                    <w:t>[dB(A)]</w:t>
                  </w:r>
                </w:p>
              </w:tc>
              <w:tc>
                <w:tcPr>
                  <w:tcW w:w="741" w:type="dxa"/>
                  <w:vMerge w:val="continue"/>
                  <w:shd w:val="clear" w:color="auto" w:fill="D7D7D7"/>
                  <w:vAlign w:val="center"/>
                </w:tcPr>
                <w:p>
                  <w:pPr>
                    <w:spacing w:line="240" w:lineRule="auto"/>
                    <w:ind w:firstLine="0" w:firstLineChars="0"/>
                    <w:jc w:val="center"/>
                    <w:rPr>
                      <w:rFonts w:hint="eastAsia" w:ascii="宋体" w:hAnsi="宋体" w:eastAsia="宋体" w:cs="宋体"/>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restart"/>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w:t>
                  </w:r>
                  <w:r>
                    <w:rPr>
                      <w:rFonts w:hint="eastAsia" w:ascii="宋体" w:hAnsi="宋体" w:eastAsia="宋体" w:cs="宋体"/>
                      <w:color w:val="auto"/>
                      <w:sz w:val="18"/>
                      <w:szCs w:val="18"/>
                      <w:lang w:val="en-US" w:eastAsia="zh-CN"/>
                    </w:rPr>
                    <w:t>023.8.9</w:t>
                  </w:r>
                </w:p>
              </w:tc>
              <w:tc>
                <w:tcPr>
                  <w:tcW w:w="2237" w:type="dxa"/>
                  <w:vAlign w:val="center"/>
                </w:tcPr>
                <w:p>
                  <w:pPr>
                    <w:spacing w:line="240" w:lineRule="auto"/>
                    <w:ind w:firstLine="0" w:firstLineChars="0"/>
                    <w:jc w:val="center"/>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N1：项目厂界外1m处东</w:t>
                  </w:r>
                </w:p>
              </w:tc>
              <w:tc>
                <w:tcPr>
                  <w:tcW w:w="969"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54</w:t>
                  </w:r>
                </w:p>
              </w:tc>
              <w:tc>
                <w:tcPr>
                  <w:tcW w:w="100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42</w:t>
                  </w:r>
                </w:p>
              </w:tc>
              <w:tc>
                <w:tcPr>
                  <w:tcW w:w="975" w:type="dxa"/>
                  <w:vMerge w:val="restart"/>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60</w:t>
                  </w:r>
                </w:p>
              </w:tc>
              <w:tc>
                <w:tcPr>
                  <w:tcW w:w="994" w:type="dxa"/>
                  <w:vMerge w:val="restart"/>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50</w:t>
                  </w:r>
                </w:p>
              </w:tc>
              <w:tc>
                <w:tcPr>
                  <w:tcW w:w="741" w:type="dxa"/>
                  <w:vMerge w:val="restart"/>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pacing w:line="240" w:lineRule="auto"/>
                    <w:ind w:firstLine="0" w:firstLineChars="0"/>
                    <w:jc w:val="center"/>
                    <w:rPr>
                      <w:rFonts w:hint="eastAsia" w:ascii="宋体" w:hAnsi="宋体" w:eastAsia="宋体" w:cs="宋体"/>
                      <w:color w:val="auto"/>
                      <w:sz w:val="18"/>
                      <w:szCs w:val="18"/>
                    </w:rPr>
                  </w:pPr>
                </w:p>
              </w:tc>
              <w:tc>
                <w:tcPr>
                  <w:tcW w:w="2237" w:type="dxa"/>
                  <w:vAlign w:val="center"/>
                </w:tcPr>
                <w:p>
                  <w:pPr>
                    <w:spacing w:line="240" w:lineRule="auto"/>
                    <w:ind w:firstLine="0" w:firstLineChars="0"/>
                    <w:jc w:val="center"/>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N2：项目厂界外1m处南</w:t>
                  </w:r>
                </w:p>
              </w:tc>
              <w:tc>
                <w:tcPr>
                  <w:tcW w:w="969"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52</w:t>
                  </w:r>
                </w:p>
              </w:tc>
              <w:tc>
                <w:tcPr>
                  <w:tcW w:w="100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42</w:t>
                  </w:r>
                </w:p>
              </w:tc>
              <w:tc>
                <w:tcPr>
                  <w:tcW w:w="975"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741"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pacing w:line="240" w:lineRule="auto"/>
                    <w:ind w:firstLine="0" w:firstLineChars="0"/>
                    <w:jc w:val="center"/>
                    <w:rPr>
                      <w:rFonts w:hint="eastAsia" w:ascii="宋体" w:hAnsi="宋体" w:eastAsia="宋体" w:cs="宋体"/>
                      <w:color w:val="auto"/>
                      <w:sz w:val="18"/>
                      <w:szCs w:val="18"/>
                    </w:rPr>
                  </w:pPr>
                </w:p>
              </w:tc>
              <w:tc>
                <w:tcPr>
                  <w:tcW w:w="2237" w:type="dxa"/>
                  <w:vAlign w:val="center"/>
                </w:tcPr>
                <w:p>
                  <w:pPr>
                    <w:spacing w:line="240" w:lineRule="auto"/>
                    <w:ind w:firstLine="0" w:firstLineChars="0"/>
                    <w:jc w:val="center"/>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N3：项目厂界外1m处西</w:t>
                  </w:r>
                </w:p>
              </w:tc>
              <w:tc>
                <w:tcPr>
                  <w:tcW w:w="969"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52</w:t>
                  </w:r>
                </w:p>
              </w:tc>
              <w:tc>
                <w:tcPr>
                  <w:tcW w:w="100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42</w:t>
                  </w:r>
                </w:p>
              </w:tc>
              <w:tc>
                <w:tcPr>
                  <w:tcW w:w="975"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741"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pacing w:line="240" w:lineRule="auto"/>
                    <w:ind w:firstLine="0" w:firstLineChars="0"/>
                    <w:jc w:val="center"/>
                    <w:rPr>
                      <w:rFonts w:hint="eastAsia" w:ascii="宋体" w:hAnsi="宋体" w:eastAsia="宋体" w:cs="宋体"/>
                      <w:color w:val="auto"/>
                      <w:sz w:val="18"/>
                      <w:szCs w:val="18"/>
                    </w:rPr>
                  </w:pPr>
                </w:p>
              </w:tc>
              <w:tc>
                <w:tcPr>
                  <w:tcW w:w="2237" w:type="dxa"/>
                  <w:vAlign w:val="center"/>
                </w:tcPr>
                <w:p>
                  <w:pPr>
                    <w:spacing w:line="240" w:lineRule="auto"/>
                    <w:ind w:firstLine="0" w:firstLineChars="0"/>
                    <w:jc w:val="center"/>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N4：项目厂界外1m处北</w:t>
                  </w:r>
                </w:p>
              </w:tc>
              <w:tc>
                <w:tcPr>
                  <w:tcW w:w="969"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55</w:t>
                  </w:r>
                </w:p>
              </w:tc>
              <w:tc>
                <w:tcPr>
                  <w:tcW w:w="100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46</w:t>
                  </w:r>
                </w:p>
              </w:tc>
              <w:tc>
                <w:tcPr>
                  <w:tcW w:w="975"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741"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pacing w:line="240" w:lineRule="auto"/>
                    <w:ind w:firstLine="0" w:firstLineChars="0"/>
                    <w:jc w:val="center"/>
                    <w:rPr>
                      <w:rFonts w:hint="eastAsia" w:ascii="宋体" w:hAnsi="宋体" w:eastAsia="宋体" w:cs="宋体"/>
                      <w:color w:val="auto"/>
                      <w:sz w:val="18"/>
                      <w:szCs w:val="18"/>
                    </w:rPr>
                  </w:pPr>
                </w:p>
              </w:tc>
              <w:tc>
                <w:tcPr>
                  <w:tcW w:w="2237"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N5：勐海镇政府居住点</w:t>
                  </w:r>
                </w:p>
              </w:tc>
              <w:tc>
                <w:tcPr>
                  <w:tcW w:w="969"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55</w:t>
                  </w:r>
                </w:p>
              </w:tc>
              <w:tc>
                <w:tcPr>
                  <w:tcW w:w="100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45</w:t>
                  </w:r>
                </w:p>
              </w:tc>
              <w:tc>
                <w:tcPr>
                  <w:tcW w:w="975"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741"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r>
          </w:tbl>
          <w:p>
            <w:pPr>
              <w:spacing w:line="360" w:lineRule="auto"/>
              <w:ind w:right="39"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由表 3-1 噪声监测数据可知，</w:t>
            </w:r>
            <w:r>
              <w:rPr>
                <w:rFonts w:hint="eastAsia" w:ascii="宋体" w:hAnsi="宋体" w:cs="宋体"/>
                <w:color w:val="auto"/>
                <w:sz w:val="24"/>
                <w:lang w:val="en-US" w:eastAsia="zh-CN"/>
              </w:rPr>
              <w:t>项目北侧的镇政府居住点能满足</w:t>
            </w:r>
            <w:r>
              <w:rPr>
                <w:rFonts w:hint="eastAsia" w:ascii="宋体" w:hAnsi="宋体" w:cs="宋体"/>
                <w:color w:val="auto"/>
                <w:sz w:val="24"/>
              </w:rPr>
              <w:t>《声环境质量标准》（GB3096-2008）2类标准限值要求</w:t>
            </w:r>
            <w:r>
              <w:rPr>
                <w:rFonts w:hint="eastAsia" w:ascii="宋体" w:hAnsi="宋体" w:cs="宋体"/>
                <w:color w:val="auto"/>
                <w:sz w:val="24"/>
                <w:lang w:eastAsia="zh-CN"/>
              </w:rPr>
              <w:t>，</w:t>
            </w:r>
            <w:r>
              <w:rPr>
                <w:rFonts w:hint="eastAsia" w:ascii="宋体" w:hAnsi="宋体" w:cs="宋体"/>
                <w:color w:val="auto"/>
                <w:sz w:val="24"/>
                <w:lang w:val="en-US" w:eastAsia="zh-CN"/>
              </w:rPr>
              <w:t>通过类比，</w:t>
            </w:r>
            <w:r>
              <w:rPr>
                <w:rFonts w:hint="eastAsia" w:ascii="宋体" w:hAnsi="宋体" w:cs="宋体"/>
                <w:color w:val="auto"/>
                <w:sz w:val="24"/>
                <w:szCs w:val="24"/>
                <w:lang w:val="en-US" w:eastAsia="zh-CN"/>
              </w:rPr>
              <w:t>卫生院周边敏感点</w:t>
            </w:r>
            <w:r>
              <w:rPr>
                <w:rFonts w:hint="eastAsia" w:ascii="宋体" w:hAnsi="宋体" w:eastAsia="宋体" w:cs="宋体"/>
                <w:color w:val="auto"/>
                <w:sz w:val="24"/>
                <w:szCs w:val="24"/>
                <w:lang w:val="en-US" w:eastAsia="zh-CN"/>
              </w:rPr>
              <w:t>声</w:t>
            </w:r>
            <w:r>
              <w:rPr>
                <w:rFonts w:hint="eastAsia" w:ascii="宋体" w:hAnsi="宋体" w:cs="宋体"/>
                <w:color w:val="auto"/>
                <w:sz w:val="24"/>
                <w:szCs w:val="24"/>
                <w:lang w:val="en-US" w:eastAsia="zh-CN"/>
              </w:rPr>
              <w:t>环境</w:t>
            </w:r>
            <w:r>
              <w:rPr>
                <w:rFonts w:hint="eastAsia" w:ascii="宋体" w:hAnsi="宋体" w:eastAsia="宋体" w:cs="宋体"/>
                <w:color w:val="auto"/>
                <w:sz w:val="24"/>
                <w:szCs w:val="24"/>
                <w:lang w:val="en-US" w:eastAsia="zh-CN"/>
              </w:rPr>
              <w:t>现状能满足《声环境质量标准》（GB3096-2008）2类标准限值要求。项目厂界昼夜噪声值均能达到</w:t>
            </w:r>
            <w:r>
              <w:rPr>
                <w:rFonts w:hint="eastAsia" w:ascii="宋体" w:hAnsi="宋体" w:eastAsia="宋体" w:cs="宋体"/>
                <w:color w:val="auto"/>
                <w:sz w:val="24"/>
                <w:szCs w:val="24"/>
              </w:rPr>
              <w:t>《工业企业厂界环境噪声排放标准》（GB12348-2008）中的</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昼间60</w:t>
            </w:r>
            <w:r>
              <w:rPr>
                <w:rFonts w:hint="eastAsia" w:ascii="宋体" w:hAnsi="宋体" w:eastAsia="宋体" w:cs="宋体"/>
                <w:color w:val="auto"/>
                <w:sz w:val="24"/>
                <w:szCs w:val="24"/>
                <w:lang w:val="en-US" w:eastAsia="zh-CN"/>
              </w:rPr>
              <w:t>dB（A）</w:t>
            </w:r>
            <w:r>
              <w:rPr>
                <w:rFonts w:hint="eastAsia" w:ascii="宋体" w:hAnsi="宋体" w:eastAsia="宋体" w:cs="宋体"/>
                <w:color w:val="auto"/>
                <w:sz w:val="24"/>
                <w:szCs w:val="24"/>
              </w:rPr>
              <w:t>，夜间50</w:t>
            </w:r>
            <w:r>
              <w:rPr>
                <w:rFonts w:hint="eastAsia" w:ascii="宋体" w:hAnsi="宋体" w:eastAsia="宋体" w:cs="宋体"/>
                <w:color w:val="auto"/>
                <w:sz w:val="24"/>
                <w:szCs w:val="24"/>
                <w:lang w:val="en-US" w:eastAsia="zh-CN"/>
              </w:rPr>
              <w:t>dB（A））标准要求</w:t>
            </w:r>
            <w:r>
              <w:rPr>
                <w:rFonts w:hint="eastAsia" w:ascii="宋体" w:hAnsi="宋体" w:cs="宋体"/>
                <w:color w:val="auto"/>
                <w:sz w:val="24"/>
                <w:szCs w:val="24"/>
                <w:lang w:val="en-US" w:eastAsia="zh-CN"/>
              </w:rPr>
              <w:t>。</w:t>
            </w:r>
          </w:p>
          <w:p>
            <w:pPr>
              <w:pStyle w:val="22"/>
              <w:spacing w:line="360" w:lineRule="auto"/>
              <w:ind w:firstLine="482" w:firstLineChars="200"/>
              <w:rPr>
                <w:rFonts w:hint="eastAsia" w:ascii="宋体" w:hAnsi="宋体" w:eastAsia="宋体" w:cs="宋体"/>
                <w:color w:val="auto"/>
                <w:sz w:val="24"/>
                <w:szCs w:val="24"/>
              </w:rPr>
            </w:pPr>
            <w:bookmarkStart w:id="30" w:name="_Toc2951"/>
            <w:bookmarkStart w:id="31" w:name="_Toc30078"/>
            <w:bookmarkStart w:id="32" w:name="_Toc25904"/>
            <w:bookmarkStart w:id="33" w:name="_Toc71731102"/>
            <w:bookmarkStart w:id="34" w:name="_Toc15756"/>
            <w:bookmarkStart w:id="35" w:name="_Toc31937"/>
            <w:bookmarkStart w:id="36" w:name="_Toc26594"/>
            <w:r>
              <w:rPr>
                <w:rFonts w:hint="eastAsia" w:ascii="宋体" w:hAnsi="宋体" w:eastAsia="宋体" w:cs="宋体"/>
                <w:color w:val="auto"/>
                <w:sz w:val="24"/>
                <w:szCs w:val="24"/>
                <w:lang w:val="en-US" w:eastAsia="zh-CN"/>
              </w:rPr>
              <w:t>3.4</w:t>
            </w:r>
            <w:r>
              <w:rPr>
                <w:rFonts w:hint="eastAsia" w:ascii="宋体" w:hAnsi="宋体" w:eastAsia="宋体" w:cs="宋体"/>
                <w:color w:val="auto"/>
                <w:sz w:val="24"/>
                <w:szCs w:val="24"/>
              </w:rPr>
              <w:t>生态环境</w:t>
            </w:r>
            <w:bookmarkEnd w:id="30"/>
            <w:bookmarkEnd w:id="31"/>
            <w:bookmarkEnd w:id="32"/>
            <w:bookmarkEnd w:id="33"/>
            <w:bookmarkEnd w:id="34"/>
            <w:r>
              <w:rPr>
                <w:rFonts w:hint="eastAsia" w:ascii="宋体" w:hAnsi="宋体" w:eastAsia="宋体" w:cs="宋体"/>
                <w:color w:val="auto"/>
                <w:sz w:val="24"/>
                <w:szCs w:val="24"/>
              </w:rPr>
              <w:t>质量现状</w:t>
            </w:r>
            <w:bookmarkEnd w:id="35"/>
            <w:bookmarkEnd w:id="36"/>
          </w:p>
          <w:p>
            <w:pPr>
              <w:pStyle w:val="22"/>
              <w:spacing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项目位于勐海镇佛双路35号，所在区域为城市建成区。项目在原中医院用地范围内对已有建筑进行改造，不新增占地，项目区受人为干扰严重，已无原生自然植被，区域不涉及自然保护区、风景名胜区、森林公园等生态敏感区。</w:t>
            </w:r>
          </w:p>
          <w:p>
            <w:pPr>
              <w:pStyle w:val="22"/>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3.5土壤环境</w:t>
            </w:r>
          </w:p>
          <w:p>
            <w:pPr>
              <w:widowControl/>
              <w:spacing w:line="360" w:lineRule="auto"/>
              <w:ind w:firstLine="480" w:firstLineChars="20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根据《环境影响评价技术导则 土壤环境（试行）》（HJ964-2018）附录A</w:t>
            </w:r>
            <w:r>
              <w:rPr>
                <w:rFonts w:hint="eastAsia" w:ascii="宋体" w:hAnsi="宋体" w:cs="宋体"/>
                <w:color w:val="auto"/>
                <w:sz w:val="24"/>
                <w:szCs w:val="24"/>
                <w:lang w:eastAsia="zh-CN"/>
              </w:rPr>
              <w:t>，</w:t>
            </w:r>
            <w:r>
              <w:rPr>
                <w:rFonts w:hint="eastAsia" w:ascii="宋体" w:hAnsi="宋体" w:eastAsia="宋体" w:cs="宋体"/>
                <w:color w:val="auto"/>
                <w:sz w:val="24"/>
                <w:szCs w:val="24"/>
              </w:rPr>
              <w:t>项目属于“社会事业与服务业，其他”，属于IV类项目，可不开展土壤分析。</w:t>
            </w:r>
          </w:p>
          <w:p>
            <w:pPr>
              <w:pStyle w:val="22"/>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3.6地下水环境</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根据《环境影响评价技术导则 地下水环境》（HJ610-2016）附录A，项目属于“V社会事业与服务，社区医疗、卫生院（所、站）、血站、急救中心等其他卫生机构”，属于IV类项目，可不开展地下水分析。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800" w:type="dxa"/>
            <w:vAlign w:val="center"/>
          </w:tcPr>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环境</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保护</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目标</w:t>
            </w:r>
          </w:p>
        </w:tc>
        <w:tc>
          <w:tcPr>
            <w:tcW w:w="8190" w:type="dxa"/>
            <w:vAlign w:val="center"/>
          </w:tcPr>
          <w:p>
            <w:pPr>
              <w:pStyle w:val="22"/>
              <w:spacing w:line="360" w:lineRule="auto"/>
              <w:rPr>
                <w:rFonts w:hint="eastAsia" w:ascii="宋体" w:hAnsi="宋体" w:eastAsia="宋体" w:cs="宋体"/>
                <w:color w:val="auto"/>
                <w:sz w:val="24"/>
                <w:szCs w:val="24"/>
              </w:rPr>
            </w:pPr>
            <w:bookmarkStart w:id="37" w:name="_Toc9512"/>
            <w:bookmarkStart w:id="38" w:name="_Toc934"/>
            <w:bookmarkStart w:id="39" w:name="_Toc30513"/>
            <w:bookmarkStart w:id="40" w:name="_Toc22892"/>
            <w:bookmarkStart w:id="41" w:name="_Toc16450"/>
            <w:bookmarkStart w:id="42" w:name="_Toc71731103"/>
            <w:bookmarkStart w:id="43" w:name="_Toc30904"/>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环境保护目标</w:t>
            </w:r>
            <w:bookmarkEnd w:id="37"/>
            <w:bookmarkEnd w:id="38"/>
            <w:bookmarkEnd w:id="39"/>
            <w:bookmarkEnd w:id="40"/>
            <w:bookmarkEnd w:id="41"/>
            <w:bookmarkEnd w:id="42"/>
            <w:bookmarkEnd w:id="43"/>
          </w:p>
          <w:p>
            <w:pPr>
              <w:spacing w:line="360" w:lineRule="auto"/>
              <w:ind w:firstLine="56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主要环境保护目标：</w:t>
            </w:r>
          </w:p>
          <w:p>
            <w:pPr>
              <w:spacing w:line="360" w:lineRule="auto"/>
              <w:ind w:firstLine="56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项目评价区域内无自然保护区、风景名胜区、森林公园、历史文化遗迹等需要特殊保护的生态敏感目标，项目区主要环境保护目标详见表3-</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w:t>
            </w:r>
          </w:p>
          <w:p>
            <w:pPr>
              <w:spacing w:line="360" w:lineRule="auto"/>
              <w:ind w:firstLine="0" w:firstLineChars="0"/>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表3-</w:t>
            </w:r>
            <w:r>
              <w:rPr>
                <w:rFonts w:hint="eastAsia" w:ascii="黑体" w:hAnsi="黑体" w:eastAsia="黑体" w:cs="黑体"/>
                <w:b w:val="0"/>
                <w:bCs/>
                <w:color w:val="auto"/>
                <w:kern w:val="0"/>
                <w:sz w:val="21"/>
                <w:szCs w:val="21"/>
                <w:lang w:val="en-US" w:eastAsia="zh-CN"/>
              </w:rPr>
              <w:t>2</w:t>
            </w:r>
            <w:r>
              <w:rPr>
                <w:rFonts w:hint="eastAsia" w:ascii="黑体" w:hAnsi="黑体" w:eastAsia="黑体" w:cs="黑体"/>
                <w:b w:val="0"/>
                <w:bCs/>
                <w:color w:val="auto"/>
                <w:kern w:val="0"/>
                <w:sz w:val="21"/>
                <w:szCs w:val="21"/>
              </w:rPr>
              <w:t xml:space="preserve">  主要环境保护目标</w:t>
            </w:r>
          </w:p>
          <w:tbl>
            <w:tblPr>
              <w:tblStyle w:val="26"/>
              <w:tblW w:w="7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43"/>
              <w:gridCol w:w="1167"/>
              <w:gridCol w:w="1110"/>
              <w:gridCol w:w="902"/>
              <w:gridCol w:w="935"/>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73" w:type="dxa"/>
                  <w:vMerge w:val="restart"/>
                  <w:shd w:val="clear" w:color="auto" w:fill="auto"/>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保护类型</w:t>
                  </w:r>
                </w:p>
              </w:tc>
              <w:tc>
                <w:tcPr>
                  <w:tcW w:w="1143" w:type="dxa"/>
                  <w:vMerge w:val="restart"/>
                  <w:shd w:val="clear" w:color="auto" w:fill="auto"/>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保护目标名称</w:t>
                  </w:r>
                </w:p>
              </w:tc>
              <w:tc>
                <w:tcPr>
                  <w:tcW w:w="2277" w:type="dxa"/>
                  <w:gridSpan w:val="2"/>
                  <w:shd w:val="clear" w:color="auto" w:fill="auto"/>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坐标</w:t>
                  </w:r>
                </w:p>
              </w:tc>
              <w:tc>
                <w:tcPr>
                  <w:tcW w:w="902" w:type="dxa"/>
                  <w:vMerge w:val="restart"/>
                  <w:shd w:val="clear" w:color="auto" w:fill="auto"/>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与项目的位置关系</w:t>
                  </w:r>
                </w:p>
              </w:tc>
              <w:tc>
                <w:tcPr>
                  <w:tcW w:w="935" w:type="dxa"/>
                  <w:vMerge w:val="restart"/>
                  <w:shd w:val="clear" w:color="auto" w:fill="auto"/>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保护</w:t>
                  </w:r>
                </w:p>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内容</w:t>
                  </w:r>
                </w:p>
              </w:tc>
              <w:tc>
                <w:tcPr>
                  <w:tcW w:w="1934" w:type="dxa"/>
                  <w:vMerge w:val="restart"/>
                  <w:shd w:val="clear" w:color="auto" w:fill="auto"/>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73" w:type="dxa"/>
                  <w:vMerge w:val="continue"/>
                  <w:shd w:val="clear" w:color="auto" w:fill="auto"/>
                  <w:vAlign w:val="center"/>
                </w:tcPr>
                <w:p>
                  <w:pPr>
                    <w:spacing w:line="240" w:lineRule="auto"/>
                    <w:jc w:val="center"/>
                    <w:rPr>
                      <w:rFonts w:hint="eastAsia" w:ascii="宋体" w:hAnsi="宋体" w:eastAsia="宋体" w:cs="宋体"/>
                      <w:b/>
                      <w:color w:val="auto"/>
                      <w:sz w:val="18"/>
                      <w:szCs w:val="18"/>
                    </w:rPr>
                  </w:pPr>
                </w:p>
              </w:tc>
              <w:tc>
                <w:tcPr>
                  <w:tcW w:w="1143" w:type="dxa"/>
                  <w:vMerge w:val="continue"/>
                  <w:shd w:val="clear" w:color="auto" w:fill="auto"/>
                  <w:vAlign w:val="center"/>
                </w:tcPr>
                <w:p>
                  <w:pPr>
                    <w:spacing w:line="240" w:lineRule="auto"/>
                    <w:jc w:val="center"/>
                    <w:rPr>
                      <w:rFonts w:hint="eastAsia" w:ascii="宋体" w:hAnsi="宋体" w:eastAsia="宋体" w:cs="宋体"/>
                      <w:b/>
                      <w:color w:val="auto"/>
                      <w:sz w:val="18"/>
                      <w:szCs w:val="18"/>
                    </w:rPr>
                  </w:pPr>
                </w:p>
              </w:tc>
              <w:tc>
                <w:tcPr>
                  <w:tcW w:w="1167" w:type="dxa"/>
                  <w:shd w:val="clear" w:color="auto" w:fill="auto"/>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东经</w:t>
                  </w:r>
                </w:p>
              </w:tc>
              <w:tc>
                <w:tcPr>
                  <w:tcW w:w="1110" w:type="dxa"/>
                  <w:shd w:val="clear" w:color="auto" w:fill="auto"/>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北纬</w:t>
                  </w:r>
                </w:p>
              </w:tc>
              <w:tc>
                <w:tcPr>
                  <w:tcW w:w="902" w:type="dxa"/>
                  <w:vMerge w:val="continue"/>
                  <w:vAlign w:val="center"/>
                </w:tcPr>
                <w:p>
                  <w:pPr>
                    <w:spacing w:line="240" w:lineRule="auto"/>
                    <w:jc w:val="center"/>
                    <w:rPr>
                      <w:rFonts w:hint="eastAsia" w:ascii="宋体" w:hAnsi="宋体" w:eastAsia="宋体" w:cs="宋体"/>
                      <w:b/>
                      <w:color w:val="auto"/>
                      <w:sz w:val="18"/>
                      <w:szCs w:val="18"/>
                    </w:rPr>
                  </w:pPr>
                </w:p>
              </w:tc>
              <w:tc>
                <w:tcPr>
                  <w:tcW w:w="935" w:type="dxa"/>
                  <w:vMerge w:val="continue"/>
                  <w:vAlign w:val="center"/>
                </w:tcPr>
                <w:p>
                  <w:pPr>
                    <w:spacing w:line="240" w:lineRule="auto"/>
                    <w:jc w:val="center"/>
                    <w:rPr>
                      <w:rFonts w:hint="eastAsia" w:ascii="宋体" w:hAnsi="宋体" w:eastAsia="宋体" w:cs="宋体"/>
                      <w:b/>
                      <w:color w:val="auto"/>
                      <w:sz w:val="18"/>
                      <w:szCs w:val="18"/>
                    </w:rPr>
                  </w:pPr>
                </w:p>
              </w:tc>
              <w:tc>
                <w:tcPr>
                  <w:tcW w:w="1934" w:type="dxa"/>
                  <w:vMerge w:val="continue"/>
                  <w:vAlign w:val="center"/>
                </w:tcPr>
                <w:p>
                  <w:pPr>
                    <w:spacing w:line="24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restart"/>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环境空气</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项目</w:t>
                  </w:r>
                  <w:r>
                    <w:rPr>
                      <w:rFonts w:hint="eastAsia" w:ascii="宋体" w:hAnsi="宋体" w:cs="宋体"/>
                      <w:color w:val="auto"/>
                      <w:kern w:val="0"/>
                      <w:sz w:val="18"/>
                      <w:szCs w:val="18"/>
                      <w:lang w:val="en-US" w:eastAsia="zh-CN"/>
                    </w:rPr>
                    <w:t>周边500米范围内</w:t>
                  </w:r>
                  <w:r>
                    <w:rPr>
                      <w:rFonts w:hint="eastAsia" w:ascii="宋体" w:hAnsi="宋体" w:cs="宋体"/>
                      <w:color w:val="auto"/>
                      <w:sz w:val="18"/>
                      <w:szCs w:val="18"/>
                      <w:lang w:eastAsia="zh-CN"/>
                    </w:rPr>
                    <w:t>）</w:t>
                  </w: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镇政府居住点</w:t>
                  </w:r>
                </w:p>
              </w:tc>
              <w:tc>
                <w:tcPr>
                  <w:tcW w:w="1167"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100.440848</w:t>
                  </w:r>
                </w:p>
              </w:tc>
              <w:tc>
                <w:tcPr>
                  <w:tcW w:w="111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21.954691</w:t>
                  </w:r>
                </w:p>
              </w:tc>
              <w:tc>
                <w:tcPr>
                  <w:tcW w:w="902"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北侧约40米</w:t>
                  </w:r>
                </w:p>
              </w:tc>
              <w:tc>
                <w:tcPr>
                  <w:tcW w:w="935"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约</w:t>
                  </w:r>
                  <w:r>
                    <w:rPr>
                      <w:rFonts w:hint="eastAsia" w:ascii="宋体" w:hAnsi="宋体" w:cs="宋体"/>
                      <w:color w:val="auto"/>
                      <w:sz w:val="18"/>
                      <w:szCs w:val="18"/>
                      <w:lang w:val="en-US" w:eastAsia="zh-CN"/>
                    </w:rPr>
                    <w:t>40</w:t>
                  </w:r>
                  <w:r>
                    <w:rPr>
                      <w:rFonts w:hint="eastAsia" w:ascii="宋体" w:hAnsi="宋体" w:eastAsia="宋体" w:cs="宋体"/>
                      <w:color w:val="auto"/>
                      <w:sz w:val="18"/>
                      <w:szCs w:val="18"/>
                      <w:lang w:val="en-US" w:eastAsia="zh-CN"/>
                    </w:rPr>
                    <w:t>人</w:t>
                  </w:r>
                </w:p>
              </w:tc>
              <w:tc>
                <w:tcPr>
                  <w:tcW w:w="1934" w:type="dxa"/>
                  <w:vMerge w:val="restart"/>
                  <w:vAlign w:val="center"/>
                </w:tcPr>
                <w:p>
                  <w:pPr>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中医院职工宿舍</w:t>
                  </w:r>
                </w:p>
              </w:tc>
              <w:tc>
                <w:tcPr>
                  <w:tcW w:w="1167"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100.441713</w:t>
                  </w:r>
                </w:p>
              </w:tc>
              <w:tc>
                <w:tcPr>
                  <w:tcW w:w="111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21.953419</w:t>
                  </w:r>
                </w:p>
              </w:tc>
              <w:tc>
                <w:tcPr>
                  <w:tcW w:w="902" w:type="dxa"/>
                  <w:vAlign w:val="center"/>
                </w:tcPr>
                <w:p>
                  <w:pPr>
                    <w:spacing w:line="240" w:lineRule="auto"/>
                    <w:ind w:firstLine="0" w:firstLineChars="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南侧约20米</w:t>
                  </w:r>
                </w:p>
              </w:tc>
              <w:tc>
                <w:tcPr>
                  <w:tcW w:w="935" w:type="dxa"/>
                  <w:vAlign w:val="center"/>
                </w:tcPr>
                <w:p>
                  <w:pPr>
                    <w:spacing w:line="240" w:lineRule="auto"/>
                    <w:ind w:firstLine="0" w:firstLineChars="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约60人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Merge w:val="restart"/>
                  <w:vAlign w:val="center"/>
                </w:tcPr>
                <w:p>
                  <w:pPr>
                    <w:spacing w:line="240" w:lineRule="auto"/>
                    <w:ind w:firstLine="0" w:firstLineChars="0"/>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佛双社区居民点</w:t>
                  </w:r>
                </w:p>
              </w:tc>
              <w:tc>
                <w:tcPr>
                  <w:tcW w:w="1167"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100.440830</w:t>
                  </w:r>
                </w:p>
              </w:tc>
              <w:tc>
                <w:tcPr>
                  <w:tcW w:w="111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21.953981</w:t>
                  </w:r>
                </w:p>
              </w:tc>
              <w:tc>
                <w:tcPr>
                  <w:tcW w:w="902" w:type="dxa"/>
                  <w:vAlign w:val="center"/>
                </w:tcPr>
                <w:p>
                  <w:pPr>
                    <w:spacing w:line="240" w:lineRule="auto"/>
                    <w:ind w:firstLine="0" w:firstLineChars="0"/>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西侧约5米</w:t>
                  </w:r>
                </w:p>
              </w:tc>
              <w:tc>
                <w:tcPr>
                  <w:tcW w:w="935" w:type="dxa"/>
                  <w:vAlign w:val="center"/>
                </w:tcPr>
                <w:p>
                  <w:pPr>
                    <w:spacing w:line="240" w:lineRule="auto"/>
                    <w:ind w:firstLine="0" w:firstLineChars="0"/>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约40人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773" w:type="dxa"/>
                  <w:vMerge w:val="continue"/>
                  <w:vAlign w:val="center"/>
                </w:tcPr>
                <w:p>
                  <w:pPr>
                    <w:spacing w:line="240" w:lineRule="auto"/>
                    <w:ind w:firstLine="0" w:firstLineChars="0"/>
                    <w:jc w:val="center"/>
                  </w:pPr>
                </w:p>
              </w:tc>
              <w:tc>
                <w:tcPr>
                  <w:tcW w:w="1143" w:type="dxa"/>
                  <w:vMerge w:val="continue"/>
                  <w:vAlign w:val="center"/>
                </w:tcPr>
                <w:p>
                  <w:pPr>
                    <w:spacing w:line="240" w:lineRule="auto"/>
                    <w:ind w:firstLine="0" w:firstLineChars="0"/>
                    <w:jc w:val="center"/>
                    <w:rPr>
                      <w:color w:val="auto"/>
                    </w:rPr>
                  </w:pPr>
                </w:p>
              </w:tc>
              <w:tc>
                <w:tcPr>
                  <w:tcW w:w="1167"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100.441779</w:t>
                  </w:r>
                </w:p>
              </w:tc>
              <w:tc>
                <w:tcPr>
                  <w:tcW w:w="111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21.954378</w:t>
                  </w:r>
                </w:p>
              </w:tc>
              <w:tc>
                <w:tcPr>
                  <w:tcW w:w="902" w:type="dxa"/>
                  <w:vAlign w:val="center"/>
                </w:tcPr>
                <w:p>
                  <w:pPr>
                    <w:spacing w:line="240" w:lineRule="auto"/>
                    <w:ind w:firstLine="0" w:firstLineChars="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东侧约5米</w:t>
                  </w:r>
                </w:p>
              </w:tc>
              <w:tc>
                <w:tcPr>
                  <w:tcW w:w="935"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约60人</w:t>
                  </w:r>
                </w:p>
              </w:tc>
              <w:tc>
                <w:tcPr>
                  <w:tcW w:w="1934" w:type="dxa"/>
                  <w:vMerge w:val="continue"/>
                  <w:vAlign w:val="center"/>
                </w:tcPr>
                <w:p>
                  <w:pPr>
                    <w:spacing w:line="240" w:lineRule="auto"/>
                    <w:ind w:firstLine="0" w:firstLineChars="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曼贺村</w:t>
                  </w:r>
                </w:p>
              </w:tc>
              <w:tc>
                <w:tcPr>
                  <w:tcW w:w="1167"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100.440478</w:t>
                  </w:r>
                </w:p>
              </w:tc>
              <w:tc>
                <w:tcPr>
                  <w:tcW w:w="111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21.950137</w:t>
                  </w:r>
                </w:p>
              </w:tc>
              <w:tc>
                <w:tcPr>
                  <w:tcW w:w="9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西南侧</w:t>
                  </w:r>
                  <w:r>
                    <w:rPr>
                      <w:rFonts w:hint="eastAsia" w:ascii="宋体" w:hAnsi="宋体" w:eastAsia="宋体" w:cs="宋体"/>
                      <w:color w:val="auto"/>
                      <w:sz w:val="18"/>
                      <w:szCs w:val="18"/>
                    </w:rPr>
                    <w:t>约</w:t>
                  </w:r>
                  <w:r>
                    <w:rPr>
                      <w:rFonts w:hint="eastAsia" w:ascii="宋体" w:hAnsi="宋体" w:eastAsia="宋体" w:cs="宋体"/>
                      <w:color w:val="auto"/>
                      <w:sz w:val="18"/>
                      <w:szCs w:val="18"/>
                      <w:lang w:val="en-US" w:eastAsia="zh-CN"/>
                    </w:rPr>
                    <w:t>260</w:t>
                  </w:r>
                  <w:r>
                    <w:rPr>
                      <w:rFonts w:hint="eastAsia" w:ascii="宋体" w:hAnsi="宋体" w:eastAsia="宋体" w:cs="宋体"/>
                      <w:color w:val="auto"/>
                      <w:sz w:val="18"/>
                      <w:szCs w:val="18"/>
                    </w:rPr>
                    <w:t>m</w:t>
                  </w:r>
                </w:p>
              </w:tc>
              <w:tc>
                <w:tcPr>
                  <w:tcW w:w="935"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约</w:t>
                  </w:r>
                  <w:r>
                    <w:rPr>
                      <w:rFonts w:hint="eastAsia" w:ascii="宋体" w:hAnsi="宋体" w:eastAsia="宋体" w:cs="宋体"/>
                      <w:color w:val="auto"/>
                      <w:sz w:val="18"/>
                      <w:szCs w:val="18"/>
                      <w:lang w:val="en-US" w:eastAsia="zh-CN"/>
                    </w:rPr>
                    <w:t>1000</w:t>
                  </w:r>
                  <w:r>
                    <w:rPr>
                      <w:rFonts w:hint="eastAsia" w:ascii="宋体" w:hAnsi="宋体" w:eastAsia="宋体" w:cs="宋体"/>
                      <w:color w:val="auto"/>
                      <w:sz w:val="18"/>
                      <w:szCs w:val="18"/>
                    </w:rPr>
                    <w:t>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阳光幼儿园</w:t>
                  </w:r>
                </w:p>
              </w:tc>
              <w:tc>
                <w:tcPr>
                  <w:tcW w:w="1167"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100.439051</w:t>
                  </w:r>
                </w:p>
              </w:tc>
              <w:tc>
                <w:tcPr>
                  <w:tcW w:w="111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21.950744</w:t>
                  </w:r>
                </w:p>
              </w:tc>
              <w:tc>
                <w:tcPr>
                  <w:tcW w:w="9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kern w:val="2"/>
                      <w:sz w:val="18"/>
                      <w:szCs w:val="18"/>
                      <w:vertAlign w:val="baseline"/>
                      <w:lang w:val="en-US" w:eastAsia="zh-CN"/>
                    </w:rPr>
                    <w:t>西南侧约360m</w:t>
                  </w:r>
                </w:p>
              </w:tc>
              <w:tc>
                <w:tcPr>
                  <w:tcW w:w="935"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约</w:t>
                  </w:r>
                  <w:r>
                    <w:rPr>
                      <w:rFonts w:hint="eastAsia" w:ascii="宋体" w:hAnsi="宋体" w:eastAsia="宋体" w:cs="宋体"/>
                      <w:color w:val="auto"/>
                      <w:sz w:val="18"/>
                      <w:szCs w:val="18"/>
                      <w:lang w:val="en-US" w:eastAsia="zh-CN"/>
                    </w:rPr>
                    <w:t>100</w:t>
                  </w:r>
                  <w:r>
                    <w:rPr>
                      <w:rFonts w:hint="eastAsia" w:ascii="宋体" w:hAnsi="宋体" w:eastAsia="宋体" w:cs="宋体"/>
                      <w:color w:val="auto"/>
                      <w:sz w:val="18"/>
                      <w:szCs w:val="18"/>
                    </w:rPr>
                    <w:t>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景真糖厂宿舍</w:t>
                  </w:r>
                </w:p>
              </w:tc>
              <w:tc>
                <w:tcPr>
                  <w:tcW w:w="1167"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100.443916</w:t>
                  </w:r>
                </w:p>
              </w:tc>
              <w:tc>
                <w:tcPr>
                  <w:tcW w:w="111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21.953421</w:t>
                  </w:r>
                </w:p>
              </w:tc>
              <w:tc>
                <w:tcPr>
                  <w:tcW w:w="902" w:type="dxa"/>
                  <w:vAlign w:val="center"/>
                </w:tcPr>
                <w:p>
                  <w:pPr>
                    <w:spacing w:line="240" w:lineRule="auto"/>
                    <w:ind w:firstLine="0" w:firstLineChars="0"/>
                    <w:jc w:val="center"/>
                    <w:rPr>
                      <w:rFonts w:hint="default" w:ascii="宋体" w:hAnsi="宋体" w:eastAsia="宋体" w:cs="宋体"/>
                      <w:color w:val="auto"/>
                      <w:kern w:val="2"/>
                      <w:sz w:val="18"/>
                      <w:szCs w:val="18"/>
                      <w:vertAlign w:val="baseline"/>
                      <w:lang w:val="en-US" w:eastAsia="zh-CN"/>
                    </w:rPr>
                  </w:pPr>
                  <w:r>
                    <w:rPr>
                      <w:rFonts w:hint="eastAsia" w:ascii="宋体" w:hAnsi="宋体" w:cs="宋体"/>
                      <w:color w:val="auto"/>
                      <w:kern w:val="2"/>
                      <w:sz w:val="18"/>
                      <w:szCs w:val="18"/>
                      <w:vertAlign w:val="baseline"/>
                      <w:lang w:val="en-US" w:eastAsia="zh-CN"/>
                    </w:rPr>
                    <w:t>东南侧约180m</w:t>
                  </w:r>
                </w:p>
              </w:tc>
              <w:tc>
                <w:tcPr>
                  <w:tcW w:w="935"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约</w:t>
                  </w:r>
                  <w:r>
                    <w:rPr>
                      <w:rFonts w:hint="eastAsia" w:ascii="宋体" w:hAnsi="宋体" w:cs="宋体"/>
                      <w:color w:val="auto"/>
                      <w:sz w:val="18"/>
                      <w:szCs w:val="18"/>
                      <w:lang w:val="en-US" w:eastAsia="zh-CN"/>
                    </w:rPr>
                    <w:t>80</w:t>
                  </w:r>
                  <w:r>
                    <w:rPr>
                      <w:rFonts w:hint="eastAsia" w:ascii="宋体" w:hAnsi="宋体" w:eastAsia="宋体" w:cs="宋体"/>
                      <w:color w:val="auto"/>
                      <w:sz w:val="18"/>
                      <w:szCs w:val="18"/>
                    </w:rPr>
                    <w:t>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勐海县民族中学</w:t>
                  </w:r>
                </w:p>
              </w:tc>
              <w:tc>
                <w:tcPr>
                  <w:tcW w:w="1167"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100.442538</w:t>
                  </w:r>
                </w:p>
              </w:tc>
              <w:tc>
                <w:tcPr>
                  <w:tcW w:w="111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21.950416</w:t>
                  </w:r>
                </w:p>
              </w:tc>
              <w:tc>
                <w:tcPr>
                  <w:tcW w:w="902"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kern w:val="2"/>
                      <w:sz w:val="18"/>
                      <w:szCs w:val="18"/>
                      <w:vertAlign w:val="baseline"/>
                      <w:lang w:val="en-US" w:eastAsia="zh-CN"/>
                    </w:rPr>
                    <w:t>南侧240m</w:t>
                  </w:r>
                </w:p>
              </w:tc>
              <w:tc>
                <w:tcPr>
                  <w:tcW w:w="935"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约300人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欣城雅苑</w:t>
                  </w:r>
                </w:p>
              </w:tc>
              <w:tc>
                <w:tcPr>
                  <w:tcW w:w="1167"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100.440381</w:t>
                  </w:r>
                </w:p>
              </w:tc>
              <w:tc>
                <w:tcPr>
                  <w:tcW w:w="111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21.956966</w:t>
                  </w:r>
                </w:p>
              </w:tc>
              <w:tc>
                <w:tcPr>
                  <w:tcW w:w="902"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kern w:val="2"/>
                      <w:sz w:val="18"/>
                      <w:szCs w:val="18"/>
                      <w:vertAlign w:val="baseline"/>
                      <w:lang w:val="en-US" w:eastAsia="zh-CN"/>
                    </w:rPr>
                    <w:t>北侧250m</w:t>
                  </w:r>
                </w:p>
              </w:tc>
              <w:tc>
                <w:tcPr>
                  <w:tcW w:w="935"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约500人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春巢尚苑</w:t>
                  </w:r>
                </w:p>
              </w:tc>
              <w:tc>
                <w:tcPr>
                  <w:tcW w:w="1167"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100.441390</w:t>
                  </w:r>
                </w:p>
              </w:tc>
              <w:tc>
                <w:tcPr>
                  <w:tcW w:w="111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21.957175</w:t>
                  </w:r>
                </w:p>
              </w:tc>
              <w:tc>
                <w:tcPr>
                  <w:tcW w:w="902"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kern w:val="2"/>
                      <w:sz w:val="18"/>
                      <w:szCs w:val="18"/>
                      <w:vertAlign w:val="baseline"/>
                      <w:lang w:val="en-US" w:eastAsia="zh-CN"/>
                    </w:rPr>
                    <w:t>北侧260m</w:t>
                  </w:r>
                </w:p>
              </w:tc>
              <w:tc>
                <w:tcPr>
                  <w:tcW w:w="935"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约500人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茗都嘉苑</w:t>
                  </w:r>
                </w:p>
              </w:tc>
              <w:tc>
                <w:tcPr>
                  <w:tcW w:w="1167"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100.443450</w:t>
                  </w:r>
                </w:p>
              </w:tc>
              <w:tc>
                <w:tcPr>
                  <w:tcW w:w="111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21.956486</w:t>
                  </w:r>
                </w:p>
              </w:tc>
              <w:tc>
                <w:tcPr>
                  <w:tcW w:w="902"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kern w:val="2"/>
                      <w:sz w:val="18"/>
                      <w:szCs w:val="18"/>
                      <w:vertAlign w:val="baseline"/>
                      <w:lang w:val="en-US" w:eastAsia="zh-CN"/>
                    </w:rPr>
                    <w:t>北东侧247米</w:t>
                  </w:r>
                </w:p>
              </w:tc>
              <w:tc>
                <w:tcPr>
                  <w:tcW w:w="935"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约5300人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勐海县农业机械化学校</w:t>
                  </w:r>
                </w:p>
              </w:tc>
              <w:tc>
                <w:tcPr>
                  <w:tcW w:w="1167"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100.444575</w:t>
                  </w:r>
                </w:p>
              </w:tc>
              <w:tc>
                <w:tcPr>
                  <w:tcW w:w="111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21.953759</w:t>
                  </w:r>
                </w:p>
              </w:tc>
              <w:tc>
                <w:tcPr>
                  <w:tcW w:w="902"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kern w:val="2"/>
                      <w:sz w:val="18"/>
                      <w:szCs w:val="18"/>
                      <w:vertAlign w:val="baseline"/>
                      <w:lang w:val="en-US" w:eastAsia="zh-CN"/>
                    </w:rPr>
                    <w:t>东南侧约250米</w:t>
                  </w:r>
                </w:p>
              </w:tc>
              <w:tc>
                <w:tcPr>
                  <w:tcW w:w="935"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约200人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迎宾小区</w:t>
                  </w:r>
                </w:p>
              </w:tc>
              <w:tc>
                <w:tcPr>
                  <w:tcW w:w="1167"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100.444711</w:t>
                  </w:r>
                </w:p>
              </w:tc>
              <w:tc>
                <w:tcPr>
                  <w:tcW w:w="111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21.957394</w:t>
                  </w:r>
                </w:p>
              </w:tc>
              <w:tc>
                <w:tcPr>
                  <w:tcW w:w="902"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kern w:val="2"/>
                      <w:sz w:val="18"/>
                      <w:szCs w:val="18"/>
                      <w:vertAlign w:val="baseline"/>
                      <w:lang w:val="en-US" w:eastAsia="zh-CN"/>
                    </w:rPr>
                    <w:t>北东侧430m</w:t>
                  </w:r>
                </w:p>
              </w:tc>
              <w:tc>
                <w:tcPr>
                  <w:tcW w:w="935"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约300人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海苑公寓</w:t>
                  </w:r>
                </w:p>
              </w:tc>
              <w:tc>
                <w:tcPr>
                  <w:tcW w:w="1167"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100.444540</w:t>
                  </w:r>
                </w:p>
              </w:tc>
              <w:tc>
                <w:tcPr>
                  <w:tcW w:w="111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21.958414</w:t>
                  </w:r>
                </w:p>
              </w:tc>
              <w:tc>
                <w:tcPr>
                  <w:tcW w:w="902"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kern w:val="2"/>
                      <w:sz w:val="18"/>
                      <w:szCs w:val="18"/>
                      <w:vertAlign w:val="baseline"/>
                      <w:lang w:val="en-US" w:eastAsia="zh-CN"/>
                    </w:rPr>
                    <w:t>北东侧430m</w:t>
                  </w:r>
                </w:p>
              </w:tc>
              <w:tc>
                <w:tcPr>
                  <w:tcW w:w="935"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约300人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restart"/>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声环境</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项目</w:t>
                  </w:r>
                  <w:r>
                    <w:rPr>
                      <w:rFonts w:hint="eastAsia" w:ascii="宋体" w:hAnsi="宋体" w:cs="宋体"/>
                      <w:color w:val="auto"/>
                      <w:kern w:val="0"/>
                      <w:sz w:val="18"/>
                      <w:szCs w:val="18"/>
                      <w:lang w:val="en-US" w:eastAsia="zh-CN"/>
                    </w:rPr>
                    <w:t>周边50米范围内</w:t>
                  </w:r>
                  <w:r>
                    <w:rPr>
                      <w:rFonts w:hint="eastAsia" w:ascii="宋体" w:hAnsi="宋体" w:cs="宋体"/>
                      <w:color w:val="auto"/>
                      <w:sz w:val="18"/>
                      <w:szCs w:val="18"/>
                      <w:lang w:eastAsia="zh-CN"/>
                    </w:rPr>
                    <w:t>）</w:t>
                  </w:r>
                </w:p>
              </w:tc>
              <w:tc>
                <w:tcPr>
                  <w:tcW w:w="114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镇政府居住点</w:t>
                  </w:r>
                </w:p>
              </w:tc>
              <w:tc>
                <w:tcPr>
                  <w:tcW w:w="1167"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sz w:val="18"/>
                      <w:szCs w:val="18"/>
                    </w:rPr>
                    <w:t>100.440848</w:t>
                  </w:r>
                </w:p>
              </w:tc>
              <w:tc>
                <w:tcPr>
                  <w:tcW w:w="1110"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sz w:val="18"/>
                      <w:szCs w:val="18"/>
                    </w:rPr>
                    <w:t>21.954691</w:t>
                  </w:r>
                </w:p>
              </w:tc>
              <w:tc>
                <w:tcPr>
                  <w:tcW w:w="902"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sz w:val="18"/>
                      <w:szCs w:val="18"/>
                      <w:lang w:val="en-US" w:eastAsia="zh-CN"/>
                    </w:rPr>
                    <w:t>北侧约40米</w:t>
                  </w:r>
                </w:p>
              </w:tc>
              <w:tc>
                <w:tcPr>
                  <w:tcW w:w="935"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约30人</w:t>
                  </w:r>
                </w:p>
              </w:tc>
              <w:tc>
                <w:tcPr>
                  <w:tcW w:w="1934" w:type="dxa"/>
                  <w:vMerge w:val="restart"/>
                  <w:vAlign w:val="center"/>
                </w:tcPr>
                <w:p>
                  <w:pPr>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rPr>
                    <w:t>《声环境质量标准》（GB3096-2008）</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Align w:val="center"/>
                </w:tcPr>
                <w:p>
                  <w:pPr>
                    <w:spacing w:line="240" w:lineRule="auto"/>
                    <w:ind w:firstLine="0" w:firstLineChars="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中医院职工宿舍</w:t>
                  </w:r>
                </w:p>
              </w:tc>
              <w:tc>
                <w:tcPr>
                  <w:tcW w:w="1167"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100.441713</w:t>
                  </w:r>
                </w:p>
              </w:tc>
              <w:tc>
                <w:tcPr>
                  <w:tcW w:w="111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21.953419</w:t>
                  </w:r>
                </w:p>
              </w:tc>
              <w:tc>
                <w:tcPr>
                  <w:tcW w:w="902"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南侧约20米</w:t>
                  </w:r>
                </w:p>
              </w:tc>
              <w:tc>
                <w:tcPr>
                  <w:tcW w:w="935"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约60人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773" w:type="dxa"/>
                  <w:vMerge w:val="continue"/>
                  <w:vAlign w:val="center"/>
                </w:tcPr>
                <w:p>
                  <w:pPr>
                    <w:spacing w:line="240" w:lineRule="auto"/>
                    <w:jc w:val="center"/>
                    <w:rPr>
                      <w:rFonts w:hint="eastAsia" w:ascii="宋体" w:hAnsi="宋体" w:eastAsia="宋体" w:cs="宋体"/>
                      <w:color w:val="auto"/>
                      <w:sz w:val="18"/>
                      <w:szCs w:val="18"/>
                    </w:rPr>
                  </w:pPr>
                </w:p>
              </w:tc>
              <w:tc>
                <w:tcPr>
                  <w:tcW w:w="1143" w:type="dxa"/>
                  <w:vMerge w:val="restart"/>
                  <w:vAlign w:val="center"/>
                </w:tcPr>
                <w:p>
                  <w:pPr>
                    <w:spacing w:line="240" w:lineRule="auto"/>
                    <w:ind w:firstLine="0" w:firstLineChars="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佛双社区居民点</w:t>
                  </w:r>
                </w:p>
              </w:tc>
              <w:tc>
                <w:tcPr>
                  <w:tcW w:w="1167"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100.440830</w:t>
                  </w:r>
                </w:p>
              </w:tc>
              <w:tc>
                <w:tcPr>
                  <w:tcW w:w="111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21.953981</w:t>
                  </w:r>
                </w:p>
              </w:tc>
              <w:tc>
                <w:tcPr>
                  <w:tcW w:w="902"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cs="宋体"/>
                      <w:color w:val="auto"/>
                      <w:sz w:val="18"/>
                      <w:szCs w:val="18"/>
                      <w:lang w:val="en-US" w:eastAsia="zh-CN"/>
                    </w:rPr>
                    <w:t>西侧约5米</w:t>
                  </w:r>
                </w:p>
              </w:tc>
              <w:tc>
                <w:tcPr>
                  <w:tcW w:w="935"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约40人</w:t>
                  </w:r>
                </w:p>
              </w:tc>
              <w:tc>
                <w:tcPr>
                  <w:tcW w:w="1934" w:type="dxa"/>
                  <w:vMerge w:val="continue"/>
                  <w:vAlign w:val="center"/>
                </w:tcPr>
                <w:p>
                  <w:pPr>
                    <w:spacing w:line="240" w:lineRule="auto"/>
                    <w:ind w:firstLine="90" w:firstLineChars="5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773" w:type="dxa"/>
                  <w:vMerge w:val="continue"/>
                  <w:vAlign w:val="center"/>
                </w:tcPr>
                <w:p>
                  <w:pPr>
                    <w:spacing w:line="240" w:lineRule="auto"/>
                    <w:ind w:firstLine="0" w:firstLineChars="0"/>
                    <w:jc w:val="center"/>
                  </w:pPr>
                </w:p>
              </w:tc>
              <w:tc>
                <w:tcPr>
                  <w:tcW w:w="1143" w:type="dxa"/>
                  <w:vMerge w:val="continue"/>
                  <w:vAlign w:val="center"/>
                </w:tcPr>
                <w:p>
                  <w:pPr>
                    <w:spacing w:line="240" w:lineRule="auto"/>
                    <w:ind w:firstLine="0" w:firstLineChars="0"/>
                    <w:jc w:val="center"/>
                    <w:rPr>
                      <w:color w:val="auto"/>
                    </w:rPr>
                  </w:pPr>
                </w:p>
              </w:tc>
              <w:tc>
                <w:tcPr>
                  <w:tcW w:w="1167"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sz w:val="18"/>
                      <w:szCs w:val="18"/>
                    </w:rPr>
                    <w:t>100.441779</w:t>
                  </w:r>
                </w:p>
              </w:tc>
              <w:tc>
                <w:tcPr>
                  <w:tcW w:w="1110"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sz w:val="18"/>
                      <w:szCs w:val="18"/>
                    </w:rPr>
                    <w:t>21.954378</w:t>
                  </w:r>
                </w:p>
              </w:tc>
              <w:tc>
                <w:tcPr>
                  <w:tcW w:w="902"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cs="宋体"/>
                      <w:color w:val="auto"/>
                      <w:sz w:val="18"/>
                      <w:szCs w:val="18"/>
                      <w:lang w:val="en-US" w:eastAsia="zh-CN"/>
                    </w:rPr>
                    <w:t>东侧约5米</w:t>
                  </w:r>
                </w:p>
              </w:tc>
              <w:tc>
                <w:tcPr>
                  <w:tcW w:w="935"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cs="宋体"/>
                      <w:color w:val="auto"/>
                      <w:sz w:val="18"/>
                      <w:szCs w:val="18"/>
                      <w:lang w:val="en-US" w:eastAsia="zh-CN"/>
                    </w:rPr>
                    <w:t>约60人</w:t>
                  </w:r>
                </w:p>
              </w:tc>
              <w:tc>
                <w:tcPr>
                  <w:tcW w:w="1934" w:type="dxa"/>
                  <w:vMerge w:val="continue"/>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773"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地表水</w:t>
                  </w:r>
                </w:p>
              </w:tc>
              <w:tc>
                <w:tcPr>
                  <w:tcW w:w="1143" w:type="dxa"/>
                  <w:vAlign w:val="center"/>
                </w:tcPr>
                <w:p>
                  <w:pPr>
                    <w:spacing w:line="240" w:lineRule="auto"/>
                    <w:jc w:val="both"/>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南海河</w:t>
                  </w:r>
                </w:p>
              </w:tc>
              <w:tc>
                <w:tcPr>
                  <w:tcW w:w="3179" w:type="dxa"/>
                  <w:gridSpan w:val="3"/>
                  <w:vAlign w:val="center"/>
                </w:tcPr>
                <w:p>
                  <w:pPr>
                    <w:spacing w:line="240" w:lineRule="auto"/>
                    <w:ind w:firstLine="42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北侧约400m</w:t>
                  </w:r>
                </w:p>
              </w:tc>
              <w:tc>
                <w:tcPr>
                  <w:tcW w:w="935"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地表</w:t>
                  </w:r>
                </w:p>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水体</w:t>
                  </w:r>
                </w:p>
              </w:tc>
              <w:tc>
                <w:tcPr>
                  <w:tcW w:w="1934" w:type="dxa"/>
                  <w:vAlign w:val="center"/>
                </w:tcPr>
                <w:p>
                  <w:pPr>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rPr>
                    <w:t>《地表水环境质量标准》</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GB3838-2002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中的Ⅲ类标准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地下水</w:t>
                  </w:r>
                </w:p>
              </w:tc>
              <w:tc>
                <w:tcPr>
                  <w:tcW w:w="7191" w:type="dxa"/>
                  <w:gridSpan w:val="6"/>
                  <w:vAlign w:val="center"/>
                </w:tcPr>
                <w:p>
                  <w:pPr>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厂界</w:t>
                  </w:r>
                  <w:r>
                    <w:rPr>
                      <w:rFonts w:hint="eastAsia" w:ascii="宋体" w:hAnsi="宋体" w:cs="宋体"/>
                      <w:color w:val="auto"/>
                      <w:sz w:val="18"/>
                      <w:szCs w:val="18"/>
                      <w:lang w:val="en-US" w:eastAsia="zh-CN"/>
                    </w:rPr>
                    <w:t>外</w:t>
                  </w:r>
                  <w:r>
                    <w:rPr>
                      <w:rFonts w:hint="eastAsia" w:ascii="宋体" w:hAnsi="宋体" w:eastAsia="宋体" w:cs="宋体"/>
                      <w:color w:val="auto"/>
                      <w:sz w:val="18"/>
                      <w:szCs w:val="18"/>
                      <w:lang w:val="en-US" w:eastAsia="zh-CN"/>
                    </w:rPr>
                    <w:t>500米范围内无地下水集中式饮用水水源和热水、矿泉水、温泉等特殊地下水资源。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pStyle w:val="53"/>
                    <w:spacing w:line="240" w:lineRule="auto"/>
                    <w:rPr>
                      <w:rFonts w:hint="eastAsia" w:ascii="宋体" w:hAnsi="宋体" w:eastAsia="宋体" w:cs="宋体"/>
                      <w:bCs w:val="0"/>
                      <w:snapToGrid/>
                      <w:color w:val="auto"/>
                      <w:kern w:val="2"/>
                      <w:sz w:val="18"/>
                      <w:szCs w:val="18"/>
                      <w:lang w:val="en-US" w:eastAsia="zh-CN" w:bidi="ar-SA"/>
                    </w:rPr>
                  </w:pPr>
                  <w:r>
                    <w:rPr>
                      <w:rFonts w:hint="eastAsia" w:ascii="宋体" w:hAnsi="宋体" w:eastAsia="宋体" w:cs="宋体"/>
                      <w:bCs w:val="0"/>
                      <w:snapToGrid/>
                      <w:color w:val="auto"/>
                      <w:kern w:val="2"/>
                      <w:sz w:val="18"/>
                      <w:szCs w:val="18"/>
                      <w:lang w:val="en-US" w:eastAsia="zh-CN" w:bidi="ar-SA"/>
                    </w:rPr>
                    <w:t>土壤环境</w:t>
                  </w:r>
                </w:p>
              </w:tc>
              <w:tc>
                <w:tcPr>
                  <w:tcW w:w="5257" w:type="dxa"/>
                  <w:gridSpan w:val="5"/>
                  <w:vAlign w:val="center"/>
                </w:tcPr>
                <w:p>
                  <w:pPr>
                    <w:pStyle w:val="53"/>
                    <w:spacing w:line="240" w:lineRule="auto"/>
                    <w:jc w:val="left"/>
                    <w:rPr>
                      <w:rFonts w:hint="eastAsia" w:ascii="宋体" w:hAnsi="宋体" w:eastAsia="宋体" w:cs="宋体"/>
                      <w:bCs w:val="0"/>
                      <w:snapToGrid/>
                      <w:color w:val="auto"/>
                      <w:kern w:val="2"/>
                      <w:sz w:val="18"/>
                      <w:szCs w:val="18"/>
                      <w:lang w:val="en-US" w:eastAsia="zh-CN" w:bidi="ar-SA"/>
                    </w:rPr>
                  </w:pPr>
                  <w:r>
                    <w:rPr>
                      <w:rFonts w:hint="eastAsia" w:ascii="宋体" w:hAnsi="宋体" w:eastAsia="宋体" w:cs="宋体"/>
                      <w:bCs w:val="0"/>
                      <w:snapToGrid/>
                      <w:color w:val="auto"/>
                      <w:kern w:val="2"/>
                      <w:sz w:val="18"/>
                      <w:szCs w:val="18"/>
                      <w:lang w:val="en-US" w:eastAsia="zh-CN" w:bidi="ar-SA"/>
                    </w:rPr>
                    <w:t>项目位于城市建成区，周边无耕地、农田，周边50m范围内为城乡住宅和公共设施的建设用地</w:t>
                  </w:r>
                </w:p>
                <w:p>
                  <w:pPr>
                    <w:pStyle w:val="53"/>
                    <w:spacing w:line="240" w:lineRule="auto"/>
                    <w:rPr>
                      <w:rFonts w:hint="default" w:ascii="宋体" w:hAnsi="宋体" w:eastAsia="宋体" w:cs="宋体"/>
                      <w:bCs w:val="0"/>
                      <w:snapToGrid/>
                      <w:color w:val="auto"/>
                      <w:kern w:val="2"/>
                      <w:sz w:val="18"/>
                      <w:szCs w:val="18"/>
                      <w:lang w:val="en-US" w:eastAsia="zh-CN" w:bidi="ar-SA"/>
                    </w:rPr>
                  </w:pPr>
                </w:p>
              </w:tc>
              <w:tc>
                <w:tcPr>
                  <w:tcW w:w="1934" w:type="dxa"/>
                  <w:vAlign w:val="center"/>
                </w:tcPr>
                <w:p>
                  <w:pPr>
                    <w:pStyle w:val="53"/>
                    <w:spacing w:line="240" w:lineRule="auto"/>
                    <w:rPr>
                      <w:rFonts w:hint="default" w:ascii="宋体" w:hAnsi="宋体" w:eastAsia="宋体" w:cs="宋体"/>
                      <w:bCs w:val="0"/>
                      <w:snapToGrid/>
                      <w:color w:val="auto"/>
                      <w:kern w:val="2"/>
                      <w:sz w:val="18"/>
                      <w:szCs w:val="18"/>
                      <w:lang w:val="en-US" w:eastAsia="zh-CN" w:bidi="ar-SA"/>
                    </w:rPr>
                  </w:pPr>
                  <w:r>
                    <w:rPr>
                      <w:rFonts w:hint="eastAsia" w:ascii="宋体" w:hAnsi="宋体" w:eastAsia="宋体" w:cs="宋体"/>
                      <w:color w:val="auto"/>
                      <w:sz w:val="18"/>
                      <w:szCs w:val="18"/>
                    </w:rPr>
                    <w:t>《</w:t>
                  </w:r>
                  <w:r>
                    <w:rPr>
                      <w:rFonts w:hint="default" w:ascii="宋体" w:hAnsi="宋体" w:eastAsia="宋体" w:cs="宋体"/>
                      <w:bCs w:val="0"/>
                      <w:snapToGrid/>
                      <w:color w:val="auto"/>
                      <w:kern w:val="2"/>
                      <w:sz w:val="18"/>
                      <w:szCs w:val="18"/>
                      <w:lang w:val="en-US" w:eastAsia="zh-CN" w:bidi="ar-SA"/>
                    </w:rPr>
                    <w:t>土壤环境质</w:t>
                  </w:r>
                  <w:r>
                    <w:rPr>
                      <w:rFonts w:hint="eastAsia" w:ascii="宋体" w:hAnsi="宋体" w:cs="宋体"/>
                      <w:bCs w:val="0"/>
                      <w:snapToGrid/>
                      <w:color w:val="auto"/>
                      <w:kern w:val="2"/>
                      <w:sz w:val="18"/>
                      <w:szCs w:val="18"/>
                      <w:lang w:val="en-US" w:eastAsia="zh-CN" w:bidi="ar-SA"/>
                    </w:rPr>
                    <w:t>量</w:t>
                  </w:r>
                  <w:r>
                    <w:rPr>
                      <w:rFonts w:hint="default" w:ascii="宋体" w:hAnsi="宋体" w:eastAsia="宋体" w:cs="宋体"/>
                      <w:bCs w:val="0"/>
                      <w:snapToGrid/>
                      <w:color w:val="auto"/>
                      <w:kern w:val="2"/>
                      <w:sz w:val="18"/>
                      <w:szCs w:val="18"/>
                      <w:lang w:val="en-US" w:eastAsia="zh-CN" w:bidi="ar-SA"/>
                    </w:rPr>
                    <w:t>建设用地</w:t>
                  </w:r>
                  <w:r>
                    <w:rPr>
                      <w:rFonts w:hint="eastAsia" w:ascii="宋体" w:hAnsi="宋体" w:cs="宋体"/>
                      <w:bCs w:val="0"/>
                      <w:snapToGrid/>
                      <w:color w:val="auto"/>
                      <w:kern w:val="2"/>
                      <w:sz w:val="18"/>
                      <w:szCs w:val="18"/>
                      <w:lang w:val="en-US" w:eastAsia="zh-CN" w:bidi="ar-SA"/>
                    </w:rPr>
                    <w:t>土壤</w:t>
                  </w:r>
                  <w:r>
                    <w:rPr>
                      <w:rFonts w:hint="default" w:ascii="宋体" w:hAnsi="宋体" w:eastAsia="宋体" w:cs="宋体"/>
                      <w:bCs w:val="0"/>
                      <w:snapToGrid/>
                      <w:color w:val="auto"/>
                      <w:kern w:val="2"/>
                      <w:sz w:val="18"/>
                      <w:szCs w:val="18"/>
                      <w:lang w:val="en-US" w:eastAsia="zh-CN" w:bidi="ar-SA"/>
                    </w:rPr>
                    <w:t>污染风险管控标准(试行)</w:t>
                  </w:r>
                  <w:r>
                    <w:rPr>
                      <w:rFonts w:hint="eastAsia" w:ascii="宋体" w:hAnsi="宋体" w:eastAsia="宋体" w:cs="宋体"/>
                      <w:color w:val="auto"/>
                      <w:sz w:val="18"/>
                      <w:szCs w:val="18"/>
                    </w:rPr>
                    <w:t>》</w:t>
                  </w:r>
                  <w:r>
                    <w:rPr>
                      <w:rFonts w:hint="default" w:ascii="宋体" w:hAnsi="宋体" w:eastAsia="宋体" w:cs="宋体"/>
                      <w:bCs w:val="0"/>
                      <w:snapToGrid/>
                      <w:color w:val="auto"/>
                      <w:kern w:val="2"/>
                      <w:sz w:val="18"/>
                      <w:szCs w:val="18"/>
                      <w:lang w:val="en-US" w:eastAsia="zh-CN" w:bidi="ar-SA"/>
                    </w:rPr>
                    <w:t>(GB36600—2018)第一类用地筛</w:t>
                  </w:r>
                  <w:r>
                    <w:rPr>
                      <w:rFonts w:hint="eastAsia" w:ascii="宋体" w:hAnsi="宋体" w:cs="宋体"/>
                      <w:bCs w:val="0"/>
                      <w:snapToGrid/>
                      <w:color w:val="auto"/>
                      <w:kern w:val="2"/>
                      <w:sz w:val="18"/>
                      <w:szCs w:val="18"/>
                      <w:lang w:val="en-US" w:eastAsia="zh-CN" w:bidi="ar-SA"/>
                    </w:rPr>
                    <w:t>选值</w:t>
                  </w:r>
                </w:p>
                <w:p>
                  <w:pPr>
                    <w:pStyle w:val="53"/>
                    <w:spacing w:line="240" w:lineRule="auto"/>
                    <w:rPr>
                      <w:rFonts w:hint="default" w:ascii="宋体" w:hAnsi="宋体" w:eastAsia="宋体" w:cs="宋体"/>
                      <w:bCs w:val="0"/>
                      <w:snapToGrid/>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生态环境</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项目区及</w:t>
                  </w:r>
                  <w:r>
                    <w:rPr>
                      <w:rFonts w:hint="eastAsia" w:ascii="宋体" w:hAnsi="宋体" w:cs="宋体"/>
                      <w:color w:val="auto"/>
                      <w:kern w:val="0"/>
                      <w:sz w:val="18"/>
                      <w:szCs w:val="18"/>
                      <w:lang w:val="en-US" w:eastAsia="zh-CN"/>
                    </w:rPr>
                    <w:t>周边200米范围内</w:t>
                  </w:r>
                  <w:r>
                    <w:rPr>
                      <w:rFonts w:hint="eastAsia" w:ascii="宋体" w:hAnsi="宋体" w:cs="宋体"/>
                      <w:color w:val="auto"/>
                      <w:sz w:val="18"/>
                      <w:szCs w:val="18"/>
                      <w:lang w:eastAsia="zh-CN"/>
                    </w:rPr>
                    <w:t>）</w:t>
                  </w:r>
                </w:p>
              </w:tc>
              <w:tc>
                <w:tcPr>
                  <w:tcW w:w="7191" w:type="dxa"/>
                  <w:gridSpan w:val="6"/>
                  <w:vAlign w:val="center"/>
                </w:tcPr>
                <w:p>
                  <w:pPr>
                    <w:spacing w:line="240" w:lineRule="auto"/>
                    <w:ind w:firstLine="90" w:firstLineChars="50"/>
                    <w:jc w:val="both"/>
                    <w:rPr>
                      <w:rFonts w:hint="eastAsia" w:ascii="宋体" w:hAnsi="宋体" w:eastAsia="宋体" w:cs="宋体"/>
                      <w:color w:val="auto"/>
                      <w:sz w:val="18"/>
                      <w:szCs w:val="18"/>
                    </w:rPr>
                  </w:pPr>
                  <w:r>
                    <w:rPr>
                      <w:rFonts w:hint="eastAsia" w:ascii="宋体" w:hAnsi="宋体" w:eastAsia="宋体" w:cs="宋体"/>
                      <w:color w:val="auto"/>
                      <w:sz w:val="18"/>
                      <w:szCs w:val="18"/>
                      <w:lang w:val="en-US"/>
                    </w:rPr>
                    <w:t>项目区200m范围内植被、动物等</w:t>
                  </w:r>
                </w:p>
              </w:tc>
            </w:tr>
          </w:tbl>
          <w:p>
            <w:pPr>
              <w:rPr>
                <w:rFonts w:hint="default" w:eastAsia="宋体"/>
                <w:b w:val="0"/>
                <w:bCs/>
                <w:lang w:val="en-US" w:eastAsia="zh-CN"/>
              </w:rPr>
            </w:pPr>
            <w:r>
              <w:rPr>
                <w:rFonts w:hint="eastAsia" w:ascii="黑体" w:hAnsi="黑体" w:eastAsia="黑体" w:cs="黑体"/>
                <w:b w:val="0"/>
                <w:bCs/>
                <w:color w:val="auto"/>
                <w:kern w:val="0"/>
                <w:sz w:val="21"/>
                <w:szCs w:val="21"/>
                <w:lang w:val="en-US" w:eastAsia="zh-CN"/>
              </w:rPr>
              <w:t>续</w:t>
            </w:r>
            <w:r>
              <w:rPr>
                <w:rFonts w:hint="eastAsia" w:ascii="黑体" w:hAnsi="黑体" w:eastAsia="黑体" w:cs="黑体"/>
                <w:b w:val="0"/>
                <w:bCs/>
                <w:color w:val="auto"/>
                <w:kern w:val="0"/>
                <w:sz w:val="21"/>
                <w:szCs w:val="21"/>
              </w:rPr>
              <w:t>表3-</w:t>
            </w:r>
            <w:r>
              <w:rPr>
                <w:rFonts w:hint="eastAsia" w:ascii="黑体" w:hAnsi="黑体" w:eastAsia="黑体" w:cs="黑体"/>
                <w:b w:val="0"/>
                <w:bCs/>
                <w:color w:val="auto"/>
                <w:kern w:val="0"/>
                <w:sz w:val="21"/>
                <w:szCs w:val="21"/>
                <w:lang w:val="en-US" w:eastAsia="zh-CN"/>
              </w:rPr>
              <w:t>2</w:t>
            </w:r>
          </w:p>
          <w:tbl>
            <w:tblPr>
              <w:tblStyle w:val="26"/>
              <w:tblW w:w="7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090"/>
              <w:gridCol w:w="1401"/>
              <w:gridCol w:w="1402"/>
              <w:gridCol w:w="1120"/>
              <w:gridCol w:w="109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restart"/>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eastAsia="宋体" w:cs="宋体"/>
                      <w:b/>
                      <w:color w:val="auto"/>
                      <w:sz w:val="18"/>
                      <w:szCs w:val="18"/>
                    </w:rPr>
                    <w:t>保护类型</w:t>
                  </w:r>
                </w:p>
              </w:tc>
              <w:tc>
                <w:tcPr>
                  <w:tcW w:w="1090" w:type="dxa"/>
                  <w:vMerge w:val="restart"/>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b/>
                      <w:color w:val="auto"/>
                      <w:sz w:val="18"/>
                      <w:szCs w:val="18"/>
                    </w:rPr>
                    <w:t>保护目标名称</w:t>
                  </w:r>
                </w:p>
              </w:tc>
              <w:tc>
                <w:tcPr>
                  <w:tcW w:w="2803" w:type="dxa"/>
                  <w:gridSpan w:val="2"/>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b/>
                      <w:color w:val="auto"/>
                      <w:sz w:val="18"/>
                      <w:szCs w:val="18"/>
                    </w:rPr>
                    <w:t>坐标</w:t>
                  </w:r>
                </w:p>
              </w:tc>
              <w:tc>
                <w:tcPr>
                  <w:tcW w:w="1120" w:type="dxa"/>
                  <w:vMerge w:val="restart"/>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b/>
                      <w:color w:val="auto"/>
                      <w:sz w:val="18"/>
                      <w:szCs w:val="18"/>
                    </w:rPr>
                    <w:t>与项目的位置关系</w:t>
                  </w:r>
                </w:p>
              </w:tc>
              <w:tc>
                <w:tcPr>
                  <w:tcW w:w="1090" w:type="dxa"/>
                  <w:vMerge w:val="restart"/>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保护</w:t>
                  </w:r>
                </w:p>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b/>
                      <w:color w:val="auto"/>
                      <w:sz w:val="18"/>
                      <w:szCs w:val="18"/>
                    </w:rPr>
                    <w:t>内容</w:t>
                  </w:r>
                </w:p>
              </w:tc>
              <w:tc>
                <w:tcPr>
                  <w:tcW w:w="1156" w:type="dxa"/>
                  <w:vMerge w:val="restart"/>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b/>
                      <w:color w:val="auto"/>
                      <w:sz w:val="18"/>
                      <w:szCs w:val="18"/>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jc w:val="center"/>
                  </w:pPr>
                </w:p>
              </w:tc>
              <w:tc>
                <w:tcPr>
                  <w:tcW w:w="1090" w:type="dxa"/>
                  <w:vMerge w:val="continue"/>
                  <w:vAlign w:val="center"/>
                </w:tcPr>
                <w:p>
                  <w:pPr>
                    <w:spacing w:line="240" w:lineRule="auto"/>
                    <w:jc w:val="center"/>
                  </w:pPr>
                </w:p>
              </w:tc>
              <w:tc>
                <w:tcPr>
                  <w:tcW w:w="1401" w:type="dxa"/>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东经</w:t>
                  </w:r>
                </w:p>
              </w:tc>
              <w:tc>
                <w:tcPr>
                  <w:tcW w:w="1402" w:type="dxa"/>
                  <w:vAlign w:val="center"/>
                </w:tcPr>
                <w:p>
                  <w:pPr>
                    <w:spacing w:line="24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北纬</w:t>
                  </w:r>
                </w:p>
              </w:tc>
              <w:tc>
                <w:tcPr>
                  <w:tcW w:w="1120" w:type="dxa"/>
                  <w:vMerge w:val="continue"/>
                  <w:vAlign w:val="center"/>
                </w:tcPr>
                <w:p>
                  <w:pPr>
                    <w:spacing w:line="240" w:lineRule="auto"/>
                    <w:jc w:val="center"/>
                    <w:rPr>
                      <w:rFonts w:hint="eastAsia" w:ascii="宋体" w:hAnsi="宋体" w:eastAsia="宋体" w:cs="宋体"/>
                      <w:b/>
                      <w:color w:val="auto"/>
                      <w:sz w:val="18"/>
                      <w:szCs w:val="18"/>
                    </w:rPr>
                  </w:pPr>
                </w:p>
              </w:tc>
              <w:tc>
                <w:tcPr>
                  <w:tcW w:w="1090" w:type="dxa"/>
                  <w:vMerge w:val="continue"/>
                  <w:vAlign w:val="center"/>
                </w:tcPr>
                <w:p>
                  <w:pPr>
                    <w:spacing w:line="240" w:lineRule="auto"/>
                    <w:jc w:val="center"/>
                    <w:rPr>
                      <w:rFonts w:hint="eastAsia" w:ascii="宋体" w:hAnsi="宋体" w:eastAsia="宋体" w:cs="宋体"/>
                      <w:b/>
                      <w:color w:val="auto"/>
                      <w:sz w:val="18"/>
                      <w:szCs w:val="18"/>
                    </w:rPr>
                  </w:pPr>
                </w:p>
              </w:tc>
              <w:tc>
                <w:tcPr>
                  <w:tcW w:w="1156" w:type="dxa"/>
                  <w:vMerge w:val="continue"/>
                  <w:vAlign w:val="center"/>
                </w:tcPr>
                <w:p>
                  <w:pPr>
                    <w:spacing w:line="24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restart"/>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环境风险保护目标</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镇政府居住点</w:t>
                  </w: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100.440848</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21.954691</w:t>
                  </w:r>
                </w:p>
              </w:tc>
              <w:tc>
                <w:tcPr>
                  <w:tcW w:w="112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北侧约40米</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约</w:t>
                  </w:r>
                  <w:r>
                    <w:rPr>
                      <w:rFonts w:hint="eastAsia" w:ascii="宋体" w:hAnsi="宋体" w:cs="宋体"/>
                      <w:color w:val="auto"/>
                      <w:sz w:val="18"/>
                      <w:szCs w:val="18"/>
                      <w:lang w:val="en-US" w:eastAsia="zh-CN"/>
                    </w:rPr>
                    <w:t>40</w:t>
                  </w:r>
                  <w:r>
                    <w:rPr>
                      <w:rFonts w:hint="eastAsia" w:ascii="宋体" w:hAnsi="宋体" w:eastAsia="宋体" w:cs="宋体"/>
                      <w:color w:val="auto"/>
                      <w:sz w:val="18"/>
                      <w:szCs w:val="18"/>
                      <w:lang w:val="en-US" w:eastAsia="zh-CN"/>
                    </w:rPr>
                    <w:t>人</w:t>
                  </w:r>
                </w:p>
              </w:tc>
              <w:tc>
                <w:tcPr>
                  <w:tcW w:w="1156" w:type="dxa"/>
                  <w:vMerge w:val="restart"/>
                  <w:vAlign w:val="center"/>
                </w:tcPr>
                <w:p>
                  <w:pPr>
                    <w:spacing w:line="240" w:lineRule="auto"/>
                    <w:ind w:firstLine="90" w:firstLineChars="50"/>
                    <w:jc w:val="both"/>
                    <w:rPr>
                      <w:rFonts w:hint="eastAsia" w:ascii="宋体" w:hAnsi="宋体" w:eastAsia="宋体" w:cs="宋体"/>
                      <w:color w:val="auto"/>
                      <w:sz w:val="18"/>
                      <w:szCs w:val="18"/>
                    </w:rPr>
                  </w:pPr>
                  <w:r>
                    <w:rPr>
                      <w:rFonts w:hint="eastAsia" w:ascii="宋体" w:hAnsi="宋体" w:eastAsia="宋体" w:cs="宋体"/>
                      <w:color w:val="auto"/>
                      <w:sz w:val="18"/>
                      <w:szCs w:val="18"/>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105" w:firstLineChars="50"/>
                    <w:jc w:val="both"/>
                    <w:rPr>
                      <w:color w:val="auto"/>
                    </w:rPr>
                  </w:pPr>
                </w:p>
              </w:tc>
              <w:tc>
                <w:tcPr>
                  <w:tcW w:w="1090" w:type="dxa"/>
                  <w:vAlign w:val="center"/>
                </w:tcPr>
                <w:p>
                  <w:pPr>
                    <w:spacing w:line="240" w:lineRule="auto"/>
                    <w:ind w:firstLine="0" w:firstLineChars="0"/>
                    <w:jc w:val="center"/>
                    <w:rPr>
                      <w:color w:val="auto"/>
                    </w:rPr>
                  </w:pPr>
                  <w:r>
                    <w:rPr>
                      <w:rFonts w:hint="eastAsia" w:ascii="宋体" w:hAnsi="宋体" w:cs="宋体"/>
                      <w:color w:val="auto"/>
                      <w:sz w:val="18"/>
                      <w:szCs w:val="18"/>
                      <w:lang w:val="en-US" w:eastAsia="zh-CN"/>
                    </w:rPr>
                    <w:t>中医院职工宿舍</w:t>
                  </w:r>
                </w:p>
              </w:tc>
              <w:tc>
                <w:tcPr>
                  <w:tcW w:w="1401" w:type="dxa"/>
                  <w:vAlign w:val="center"/>
                </w:tcPr>
                <w:p>
                  <w:pPr>
                    <w:spacing w:line="240" w:lineRule="auto"/>
                    <w:ind w:firstLine="0" w:firstLineChars="0"/>
                    <w:jc w:val="center"/>
                    <w:rPr>
                      <w:color w:val="auto"/>
                    </w:rPr>
                  </w:pPr>
                  <w:r>
                    <w:rPr>
                      <w:rFonts w:hint="eastAsia" w:ascii="宋体" w:hAnsi="宋体" w:eastAsia="宋体" w:cs="宋体"/>
                      <w:color w:val="auto"/>
                      <w:sz w:val="18"/>
                      <w:szCs w:val="18"/>
                    </w:rPr>
                    <w:t>100.441713</w:t>
                  </w:r>
                </w:p>
              </w:tc>
              <w:tc>
                <w:tcPr>
                  <w:tcW w:w="1402" w:type="dxa"/>
                  <w:vAlign w:val="center"/>
                </w:tcPr>
                <w:p>
                  <w:pPr>
                    <w:spacing w:line="240" w:lineRule="auto"/>
                    <w:ind w:firstLine="0" w:firstLineChars="0"/>
                    <w:jc w:val="center"/>
                    <w:rPr>
                      <w:color w:val="auto"/>
                    </w:rPr>
                  </w:pPr>
                  <w:r>
                    <w:rPr>
                      <w:rFonts w:hint="eastAsia" w:ascii="宋体" w:hAnsi="宋体" w:eastAsia="宋体" w:cs="宋体"/>
                      <w:color w:val="auto"/>
                      <w:sz w:val="18"/>
                      <w:szCs w:val="18"/>
                    </w:rPr>
                    <w:t>21.953419</w:t>
                  </w:r>
                </w:p>
              </w:tc>
              <w:tc>
                <w:tcPr>
                  <w:tcW w:w="1120" w:type="dxa"/>
                  <w:vAlign w:val="center"/>
                </w:tcPr>
                <w:p>
                  <w:pPr>
                    <w:spacing w:line="240" w:lineRule="auto"/>
                    <w:ind w:firstLine="0" w:firstLineChars="0"/>
                    <w:jc w:val="center"/>
                    <w:rPr>
                      <w:color w:val="auto"/>
                    </w:rPr>
                  </w:pPr>
                  <w:r>
                    <w:rPr>
                      <w:rFonts w:hint="eastAsia" w:ascii="宋体" w:hAnsi="宋体" w:cs="宋体"/>
                      <w:color w:val="auto"/>
                      <w:sz w:val="18"/>
                      <w:szCs w:val="18"/>
                      <w:lang w:val="en-US" w:eastAsia="zh-CN"/>
                    </w:rPr>
                    <w:t>南侧约20米</w:t>
                  </w:r>
                </w:p>
              </w:tc>
              <w:tc>
                <w:tcPr>
                  <w:tcW w:w="1090" w:type="dxa"/>
                  <w:vAlign w:val="center"/>
                </w:tcPr>
                <w:p>
                  <w:pPr>
                    <w:spacing w:line="240" w:lineRule="auto"/>
                    <w:ind w:firstLine="0" w:firstLineChars="0"/>
                    <w:jc w:val="center"/>
                    <w:rPr>
                      <w:color w:val="auto"/>
                    </w:rPr>
                  </w:pPr>
                  <w:r>
                    <w:rPr>
                      <w:rFonts w:hint="eastAsia" w:ascii="宋体" w:hAnsi="宋体" w:cs="宋体"/>
                      <w:color w:val="auto"/>
                      <w:sz w:val="18"/>
                      <w:szCs w:val="18"/>
                      <w:lang w:val="en-US" w:eastAsia="zh-CN"/>
                    </w:rPr>
                    <w:t>约60人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02" w:type="dxa"/>
                  <w:vMerge w:val="continue"/>
                  <w:vAlign w:val="center"/>
                </w:tcPr>
                <w:p>
                  <w:pPr>
                    <w:spacing w:line="240" w:lineRule="auto"/>
                    <w:ind w:firstLine="105" w:firstLineChars="50"/>
                    <w:jc w:val="both"/>
                    <w:rPr>
                      <w:color w:val="auto"/>
                    </w:rPr>
                  </w:pPr>
                </w:p>
              </w:tc>
              <w:tc>
                <w:tcPr>
                  <w:tcW w:w="1090" w:type="dxa"/>
                  <w:vMerge w:val="restart"/>
                  <w:vAlign w:val="center"/>
                </w:tcPr>
                <w:p>
                  <w:pPr>
                    <w:spacing w:line="240" w:lineRule="auto"/>
                    <w:ind w:firstLine="0" w:firstLineChars="0"/>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佛双社区居民点</w:t>
                  </w: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100.440830</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21.953981</w:t>
                  </w:r>
                </w:p>
              </w:tc>
              <w:tc>
                <w:tcPr>
                  <w:tcW w:w="1120" w:type="dxa"/>
                  <w:vAlign w:val="center"/>
                </w:tcPr>
                <w:p>
                  <w:pPr>
                    <w:spacing w:line="240" w:lineRule="auto"/>
                    <w:ind w:firstLine="0" w:firstLineChars="0"/>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西侧约5米</w:t>
                  </w:r>
                </w:p>
              </w:tc>
              <w:tc>
                <w:tcPr>
                  <w:tcW w:w="1090" w:type="dxa"/>
                  <w:vAlign w:val="center"/>
                </w:tcPr>
                <w:p>
                  <w:pPr>
                    <w:spacing w:line="240" w:lineRule="auto"/>
                    <w:ind w:firstLine="0" w:firstLineChars="0"/>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约40人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02" w:type="dxa"/>
                  <w:vMerge w:val="continue"/>
                  <w:vAlign w:val="center"/>
                </w:tcPr>
                <w:p>
                  <w:pPr>
                    <w:spacing w:line="240" w:lineRule="auto"/>
                    <w:ind w:firstLine="0" w:firstLineChars="0"/>
                    <w:jc w:val="center"/>
                  </w:pPr>
                </w:p>
              </w:tc>
              <w:tc>
                <w:tcPr>
                  <w:tcW w:w="1090" w:type="dxa"/>
                  <w:vMerge w:val="continue"/>
                  <w:vAlign w:val="center"/>
                </w:tcPr>
                <w:p>
                  <w:pPr>
                    <w:spacing w:line="240" w:lineRule="auto"/>
                    <w:ind w:firstLine="0" w:firstLineChars="0"/>
                    <w:jc w:val="center"/>
                    <w:rPr>
                      <w:color w:val="auto"/>
                    </w:rPr>
                  </w:pP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100.441779</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21.954378</w:t>
                  </w:r>
                </w:p>
              </w:tc>
              <w:tc>
                <w:tcPr>
                  <w:tcW w:w="112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东侧约5米</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约60人</w:t>
                  </w:r>
                </w:p>
              </w:tc>
              <w:tc>
                <w:tcPr>
                  <w:tcW w:w="1156" w:type="dxa"/>
                  <w:vMerge w:val="continue"/>
                  <w:vAlign w:val="center"/>
                </w:tcPr>
                <w:p>
                  <w:pPr>
                    <w:spacing w:line="240" w:lineRule="auto"/>
                    <w:ind w:firstLine="0" w:firstLineChars="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曼贺村</w:t>
                  </w: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100.440478</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21.950137</w:t>
                  </w:r>
                </w:p>
              </w:tc>
              <w:tc>
                <w:tcPr>
                  <w:tcW w:w="112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西南侧</w:t>
                  </w:r>
                  <w:r>
                    <w:rPr>
                      <w:rFonts w:hint="eastAsia" w:ascii="宋体" w:hAnsi="宋体" w:eastAsia="宋体" w:cs="宋体"/>
                      <w:color w:val="auto"/>
                      <w:sz w:val="18"/>
                      <w:szCs w:val="18"/>
                    </w:rPr>
                    <w:t>约</w:t>
                  </w:r>
                  <w:r>
                    <w:rPr>
                      <w:rFonts w:hint="eastAsia" w:ascii="宋体" w:hAnsi="宋体" w:eastAsia="宋体" w:cs="宋体"/>
                      <w:color w:val="auto"/>
                      <w:sz w:val="18"/>
                      <w:szCs w:val="18"/>
                      <w:lang w:val="en-US" w:eastAsia="zh-CN"/>
                    </w:rPr>
                    <w:t>260</w:t>
                  </w:r>
                  <w:r>
                    <w:rPr>
                      <w:rFonts w:hint="eastAsia" w:ascii="宋体" w:hAnsi="宋体" w:eastAsia="宋体" w:cs="宋体"/>
                      <w:color w:val="auto"/>
                      <w:sz w:val="18"/>
                      <w:szCs w:val="18"/>
                    </w:rPr>
                    <w:t>m</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约</w:t>
                  </w:r>
                  <w:r>
                    <w:rPr>
                      <w:rFonts w:hint="eastAsia" w:ascii="宋体" w:hAnsi="宋体" w:eastAsia="宋体" w:cs="宋体"/>
                      <w:color w:val="auto"/>
                      <w:sz w:val="18"/>
                      <w:szCs w:val="18"/>
                      <w:lang w:val="en-US" w:eastAsia="zh-CN"/>
                    </w:rPr>
                    <w:t>1000</w:t>
                  </w:r>
                  <w:r>
                    <w:rPr>
                      <w:rFonts w:hint="eastAsia" w:ascii="宋体" w:hAnsi="宋体" w:eastAsia="宋体" w:cs="宋体"/>
                      <w:color w:val="auto"/>
                      <w:sz w:val="18"/>
                      <w:szCs w:val="18"/>
                    </w:rPr>
                    <w:t>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阳光幼儿园</w:t>
                  </w: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100.439051</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21.950744</w:t>
                  </w:r>
                </w:p>
              </w:tc>
              <w:tc>
                <w:tcPr>
                  <w:tcW w:w="112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kern w:val="2"/>
                      <w:sz w:val="18"/>
                      <w:szCs w:val="18"/>
                      <w:vertAlign w:val="baseline"/>
                      <w:lang w:val="en-US" w:eastAsia="zh-CN"/>
                    </w:rPr>
                    <w:t>西南侧约360m</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约</w:t>
                  </w:r>
                  <w:r>
                    <w:rPr>
                      <w:rFonts w:hint="eastAsia" w:ascii="宋体" w:hAnsi="宋体" w:eastAsia="宋体" w:cs="宋体"/>
                      <w:color w:val="auto"/>
                      <w:sz w:val="18"/>
                      <w:szCs w:val="18"/>
                      <w:lang w:val="en-US" w:eastAsia="zh-CN"/>
                    </w:rPr>
                    <w:t>100</w:t>
                  </w:r>
                  <w:r>
                    <w:rPr>
                      <w:rFonts w:hint="eastAsia" w:ascii="宋体" w:hAnsi="宋体" w:eastAsia="宋体" w:cs="宋体"/>
                      <w:color w:val="auto"/>
                      <w:sz w:val="18"/>
                      <w:szCs w:val="18"/>
                    </w:rPr>
                    <w:t>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景真糖厂宿舍</w:t>
                  </w: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100.443916</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21.953421</w:t>
                  </w:r>
                </w:p>
              </w:tc>
              <w:tc>
                <w:tcPr>
                  <w:tcW w:w="112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cs="宋体"/>
                      <w:color w:val="auto"/>
                      <w:kern w:val="2"/>
                      <w:sz w:val="18"/>
                      <w:szCs w:val="18"/>
                      <w:vertAlign w:val="baseline"/>
                      <w:lang w:val="en-US" w:eastAsia="zh-CN"/>
                    </w:rPr>
                    <w:t>东南侧约180m</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约</w:t>
                  </w:r>
                  <w:r>
                    <w:rPr>
                      <w:rFonts w:hint="eastAsia" w:ascii="宋体" w:hAnsi="宋体" w:cs="宋体"/>
                      <w:color w:val="auto"/>
                      <w:sz w:val="18"/>
                      <w:szCs w:val="18"/>
                      <w:lang w:val="en-US" w:eastAsia="zh-CN"/>
                    </w:rPr>
                    <w:t>80</w:t>
                  </w:r>
                  <w:r>
                    <w:rPr>
                      <w:rFonts w:hint="eastAsia" w:ascii="宋体" w:hAnsi="宋体" w:eastAsia="宋体" w:cs="宋体"/>
                      <w:color w:val="auto"/>
                      <w:sz w:val="18"/>
                      <w:szCs w:val="18"/>
                    </w:rPr>
                    <w:t>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勐海县民族中学</w:t>
                  </w: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100.442538</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21.950416</w:t>
                  </w:r>
                </w:p>
              </w:tc>
              <w:tc>
                <w:tcPr>
                  <w:tcW w:w="112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kern w:val="2"/>
                      <w:sz w:val="18"/>
                      <w:szCs w:val="18"/>
                      <w:vertAlign w:val="baseline"/>
                      <w:lang w:val="en-US" w:eastAsia="zh-CN"/>
                    </w:rPr>
                    <w:t>南侧240m</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约300人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欣城雅苑</w:t>
                  </w: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100.440381</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21.956966</w:t>
                  </w:r>
                </w:p>
              </w:tc>
              <w:tc>
                <w:tcPr>
                  <w:tcW w:w="112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kern w:val="2"/>
                      <w:sz w:val="18"/>
                      <w:szCs w:val="18"/>
                      <w:vertAlign w:val="baseline"/>
                      <w:lang w:val="en-US" w:eastAsia="zh-CN"/>
                    </w:rPr>
                    <w:t>北侧250m</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约500人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春巢尚苑</w:t>
                  </w: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100.441390</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21.957175</w:t>
                  </w:r>
                </w:p>
              </w:tc>
              <w:tc>
                <w:tcPr>
                  <w:tcW w:w="112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kern w:val="2"/>
                      <w:sz w:val="18"/>
                      <w:szCs w:val="18"/>
                      <w:vertAlign w:val="baseline"/>
                      <w:lang w:val="en-US" w:eastAsia="zh-CN"/>
                    </w:rPr>
                    <w:t>北侧260m</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约500人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茗都嘉苑</w:t>
                  </w: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100.443450</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21.956486</w:t>
                  </w:r>
                </w:p>
              </w:tc>
              <w:tc>
                <w:tcPr>
                  <w:tcW w:w="112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kern w:val="2"/>
                      <w:sz w:val="18"/>
                      <w:szCs w:val="18"/>
                      <w:vertAlign w:val="baseline"/>
                      <w:lang w:val="en-US" w:eastAsia="zh-CN"/>
                    </w:rPr>
                    <w:t>北东侧247米</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约5300人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勐海县农业机械化学校</w:t>
                  </w:r>
                </w:p>
              </w:tc>
              <w:tc>
                <w:tcPr>
                  <w:tcW w:w="1401"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100.444575</w:t>
                  </w:r>
                </w:p>
              </w:tc>
              <w:tc>
                <w:tcPr>
                  <w:tcW w:w="1402"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21.953759</w:t>
                  </w:r>
                </w:p>
              </w:tc>
              <w:tc>
                <w:tcPr>
                  <w:tcW w:w="112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kern w:val="2"/>
                      <w:sz w:val="18"/>
                      <w:szCs w:val="18"/>
                      <w:vertAlign w:val="baseline"/>
                      <w:lang w:val="en-US" w:eastAsia="zh-CN"/>
                    </w:rPr>
                    <w:t>东南侧约250米</w:t>
                  </w:r>
                </w:p>
              </w:tc>
              <w:tc>
                <w:tcPr>
                  <w:tcW w:w="1090" w:type="dxa"/>
                  <w:vAlign w:val="center"/>
                </w:tcPr>
                <w:p>
                  <w:pPr>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约200人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迎宾小区</w:t>
                  </w:r>
                </w:p>
              </w:tc>
              <w:tc>
                <w:tcPr>
                  <w:tcW w:w="1401"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100.444711</w:t>
                  </w:r>
                </w:p>
              </w:tc>
              <w:tc>
                <w:tcPr>
                  <w:tcW w:w="1402"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21.957394</w:t>
                  </w:r>
                </w:p>
              </w:tc>
              <w:tc>
                <w:tcPr>
                  <w:tcW w:w="1120"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kern w:val="2"/>
                      <w:sz w:val="18"/>
                      <w:szCs w:val="18"/>
                      <w:vertAlign w:val="baseline"/>
                      <w:lang w:val="en-US" w:eastAsia="zh-CN"/>
                    </w:rPr>
                    <w:t>北东侧430m</w:t>
                  </w:r>
                </w:p>
              </w:tc>
              <w:tc>
                <w:tcPr>
                  <w:tcW w:w="109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约300人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海苑公寓</w:t>
                  </w:r>
                </w:p>
              </w:tc>
              <w:tc>
                <w:tcPr>
                  <w:tcW w:w="1401"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100.444540</w:t>
                  </w:r>
                </w:p>
              </w:tc>
              <w:tc>
                <w:tcPr>
                  <w:tcW w:w="1402"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21.958414</w:t>
                  </w:r>
                </w:p>
              </w:tc>
              <w:tc>
                <w:tcPr>
                  <w:tcW w:w="1120" w:type="dxa"/>
                  <w:vAlign w:val="center"/>
                </w:tcPr>
                <w:p>
                  <w:pPr>
                    <w:spacing w:line="240" w:lineRule="auto"/>
                    <w:ind w:firstLine="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eastAsia="宋体" w:cs="宋体"/>
                      <w:color w:val="auto"/>
                      <w:kern w:val="2"/>
                      <w:sz w:val="18"/>
                      <w:szCs w:val="18"/>
                      <w:vertAlign w:val="baseline"/>
                      <w:lang w:val="en-US" w:eastAsia="zh-CN"/>
                    </w:rPr>
                    <w:t>北东侧430m</w:t>
                  </w:r>
                </w:p>
              </w:tc>
              <w:tc>
                <w:tcPr>
                  <w:tcW w:w="109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约300人</w:t>
                  </w:r>
                </w:p>
              </w:tc>
              <w:tc>
                <w:tcPr>
                  <w:tcW w:w="1156"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2" w:type="dxa"/>
                  <w:vMerge w:val="continue"/>
                  <w:vAlign w:val="center"/>
                </w:tcPr>
                <w:p>
                  <w:pPr>
                    <w:spacing w:line="240" w:lineRule="auto"/>
                    <w:ind w:firstLine="90" w:firstLineChars="50"/>
                    <w:jc w:val="both"/>
                    <w:rPr>
                      <w:rFonts w:hint="eastAsia" w:ascii="宋体" w:hAnsi="宋体" w:eastAsia="宋体" w:cs="宋体"/>
                      <w:color w:val="auto"/>
                      <w:sz w:val="18"/>
                      <w:szCs w:val="18"/>
                    </w:rPr>
                  </w:pPr>
                </w:p>
              </w:tc>
              <w:tc>
                <w:tcPr>
                  <w:tcW w:w="1090"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南海河</w:t>
                  </w:r>
                </w:p>
              </w:tc>
              <w:tc>
                <w:tcPr>
                  <w:tcW w:w="3923" w:type="dxa"/>
                  <w:gridSpan w:val="3"/>
                  <w:vAlign w:val="center"/>
                </w:tcPr>
                <w:p>
                  <w:pPr>
                    <w:spacing w:line="240" w:lineRule="auto"/>
                    <w:ind w:firstLine="420" w:firstLineChars="0"/>
                    <w:jc w:val="center"/>
                    <w:rPr>
                      <w:rFonts w:hint="eastAsia" w:ascii="宋体" w:hAnsi="宋体" w:eastAsia="宋体" w:cs="宋体"/>
                      <w:color w:val="auto"/>
                      <w:kern w:val="2"/>
                      <w:sz w:val="18"/>
                      <w:szCs w:val="18"/>
                      <w:vertAlign w:val="baseline"/>
                      <w:lang w:val="en-US" w:eastAsia="zh-CN"/>
                    </w:rPr>
                  </w:pPr>
                  <w:r>
                    <w:rPr>
                      <w:rFonts w:hint="eastAsia" w:ascii="宋体" w:hAnsi="宋体" w:cs="宋体"/>
                      <w:color w:val="auto"/>
                      <w:sz w:val="18"/>
                      <w:szCs w:val="18"/>
                      <w:lang w:val="en-US" w:eastAsia="zh-CN"/>
                    </w:rPr>
                    <w:t>北侧约400m</w:t>
                  </w:r>
                </w:p>
              </w:tc>
              <w:tc>
                <w:tcPr>
                  <w:tcW w:w="1090"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地表</w:t>
                  </w:r>
                </w:p>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水体</w:t>
                  </w:r>
                </w:p>
              </w:tc>
              <w:tc>
                <w:tcPr>
                  <w:tcW w:w="1156" w:type="dxa"/>
                  <w:vAlign w:val="center"/>
                </w:tcPr>
                <w:p>
                  <w:pPr>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rPr>
                    <w:t>《地表水环境质量标准》</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GB3838-2002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中的Ⅲ类标准</w:t>
                  </w:r>
                </w:p>
              </w:tc>
            </w:tr>
          </w:tbl>
          <w:p>
            <w:pPr>
              <w:spacing w:line="360" w:lineRule="auto"/>
              <w:ind w:firstLine="560"/>
              <w:rPr>
                <w:rFonts w:hint="eastAsia" w:ascii="宋体" w:hAnsi="宋体" w:eastAsia="宋体"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jc w:val="center"/>
        </w:trPr>
        <w:tc>
          <w:tcPr>
            <w:tcW w:w="800" w:type="dxa"/>
            <w:tcMar>
              <w:left w:w="28" w:type="dxa"/>
              <w:right w:w="28" w:type="dxa"/>
            </w:tcMar>
            <w:vAlign w:val="center"/>
          </w:tcPr>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污染</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物排</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放控</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制标</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准</w:t>
            </w:r>
          </w:p>
        </w:tc>
        <w:tc>
          <w:tcPr>
            <w:tcW w:w="8190" w:type="dxa"/>
            <w:vAlign w:val="center"/>
          </w:tcPr>
          <w:p>
            <w:pPr>
              <w:pStyle w:val="22"/>
              <w:spacing w:line="360" w:lineRule="auto"/>
              <w:rPr>
                <w:rFonts w:hint="eastAsia" w:ascii="宋体" w:hAnsi="宋体" w:eastAsia="宋体" w:cs="宋体"/>
                <w:color w:val="auto"/>
                <w:sz w:val="24"/>
                <w:szCs w:val="24"/>
              </w:rPr>
            </w:pPr>
            <w:bookmarkStart w:id="44" w:name="_Toc13911"/>
            <w:bookmarkStart w:id="45" w:name="_Toc31641"/>
            <w:bookmarkStart w:id="46" w:name="_Toc71731104"/>
            <w:bookmarkStart w:id="47" w:name="_Toc1593"/>
            <w:bookmarkStart w:id="48" w:name="_Toc29725"/>
            <w:bookmarkStart w:id="49" w:name="_Toc13187"/>
            <w:bookmarkStart w:id="50" w:name="_Toc13111"/>
            <w:r>
              <w:rPr>
                <w:rFonts w:hint="eastAsia" w:ascii="宋体" w:hAnsi="宋体" w:eastAsia="宋体" w:cs="宋体"/>
                <w:color w:val="auto"/>
                <w:sz w:val="24"/>
                <w:szCs w:val="24"/>
                <w:lang w:val="en-US" w:eastAsia="zh-CN"/>
              </w:rPr>
              <w:t>3.8</w:t>
            </w:r>
            <w:r>
              <w:rPr>
                <w:rFonts w:hint="eastAsia" w:ascii="宋体" w:hAnsi="宋体" w:eastAsia="宋体" w:cs="宋体"/>
                <w:color w:val="auto"/>
                <w:sz w:val="24"/>
                <w:szCs w:val="24"/>
              </w:rPr>
              <w:t>污染物排放控制标准</w:t>
            </w:r>
            <w:bookmarkEnd w:id="44"/>
            <w:bookmarkEnd w:id="45"/>
            <w:bookmarkEnd w:id="46"/>
            <w:bookmarkEnd w:id="47"/>
            <w:bookmarkEnd w:id="48"/>
            <w:bookmarkEnd w:id="49"/>
            <w:bookmarkEnd w:id="50"/>
          </w:p>
          <w:p>
            <w:pPr>
              <w:numPr>
                <w:ilvl w:val="0"/>
                <w:numId w:val="0"/>
              </w:numPr>
              <w:spacing w:line="360" w:lineRule="auto"/>
              <w:ind w:firstLine="0" w:firstLineChars="0"/>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lang w:val="en-US" w:eastAsia="zh-CN"/>
              </w:rPr>
              <w:t>3.8.1</w:t>
            </w:r>
            <w:r>
              <w:rPr>
                <w:rFonts w:hint="eastAsia" w:ascii="宋体" w:hAnsi="宋体" w:eastAsia="宋体" w:cs="宋体"/>
                <w:b/>
                <w:bCs w:val="0"/>
                <w:color w:val="auto"/>
                <w:kern w:val="0"/>
                <w:sz w:val="24"/>
                <w:szCs w:val="24"/>
              </w:rPr>
              <w:t>废气排放标准</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1、施工期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针对此次提出的改进措施，建设事故池等。</w:t>
            </w:r>
            <w:r>
              <w:rPr>
                <w:rFonts w:hint="default" w:ascii="Times New Roman" w:hAnsi="Times New Roman" w:eastAsia="宋体" w:cs="Times New Roman"/>
                <w:b w:val="0"/>
                <w:bCs w:val="0"/>
                <w:color w:val="auto"/>
                <w:sz w:val="24"/>
                <w:szCs w:val="24"/>
                <w:highlight w:val="none"/>
                <w:lang w:val="en-US" w:eastAsia="zh-CN"/>
              </w:rPr>
              <w:t>施工期污染物主要为扬尘，执行《大气污染物综合排放标准》（GB16297-1996）无组织排放限值，厂界外浓度最高点≤1.0mg/m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2、运营期</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营运期污水处理</w:t>
            </w:r>
            <w:r>
              <w:rPr>
                <w:rFonts w:hint="eastAsia" w:ascii="宋体" w:hAnsi="宋体" w:cs="宋体"/>
                <w:color w:val="auto"/>
                <w:sz w:val="24"/>
                <w:szCs w:val="24"/>
                <w:lang w:val="en-US" w:eastAsia="zh-CN"/>
              </w:rPr>
              <w:t>站</w:t>
            </w:r>
            <w:r>
              <w:rPr>
                <w:rFonts w:hint="eastAsia" w:ascii="宋体" w:hAnsi="宋体" w:eastAsia="宋体" w:cs="宋体"/>
                <w:color w:val="auto"/>
                <w:sz w:val="24"/>
                <w:szCs w:val="24"/>
              </w:rPr>
              <w:t>大气污染物排放执行《医疗机构水污染物排放标准》（GB18466-2005）中表3标准值，具体标准值见下表。</w:t>
            </w:r>
          </w:p>
          <w:p>
            <w:pPr>
              <w:tabs>
                <w:tab w:val="left" w:pos="1332"/>
              </w:tabs>
              <w:ind w:left="434"/>
              <w:jc w:val="center"/>
              <w:rPr>
                <w:rFonts w:hint="eastAsia" w:ascii="黑体" w:hAnsi="黑体" w:eastAsia="黑体" w:cs="黑体"/>
                <w:bCs/>
                <w:color w:val="auto"/>
                <w:sz w:val="21"/>
                <w:szCs w:val="21"/>
              </w:rPr>
            </w:pPr>
            <w:r>
              <w:rPr>
                <w:rFonts w:hint="eastAsia" w:ascii="黑体" w:hAnsi="黑体" w:eastAsia="黑体" w:cs="黑体"/>
                <w:bCs/>
                <w:color w:val="auto"/>
                <w:sz w:val="21"/>
                <w:szCs w:val="21"/>
              </w:rPr>
              <w:t>表3-3  污水处理站周边大气污染物最高允许浓度</w:t>
            </w:r>
          </w:p>
          <w:tbl>
            <w:tblPr>
              <w:tblStyle w:val="26"/>
              <w:tblW w:w="79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2"/>
              <w:gridCol w:w="4553"/>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2"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序</w:t>
                  </w:r>
                  <w:r>
                    <w:rPr>
                      <w:rFonts w:hint="eastAsia" w:ascii="宋体" w:hAnsi="宋体" w:eastAsia="宋体" w:cs="宋体"/>
                      <w:color w:val="auto"/>
                      <w:sz w:val="18"/>
                      <w:szCs w:val="18"/>
                    </w:rPr>
                    <w:cr/>
                  </w:r>
                </w:p>
              </w:tc>
              <w:tc>
                <w:tcPr>
                  <w:tcW w:w="4553"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控制项目</w:t>
                  </w:r>
                </w:p>
              </w:tc>
              <w:tc>
                <w:tcPr>
                  <w:tcW w:w="2659"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2"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4553"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氨/（mg/m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w:t>
                  </w:r>
                </w:p>
              </w:tc>
              <w:tc>
                <w:tcPr>
                  <w:tcW w:w="2659"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2" w:type="dxa"/>
                  <w:vAlign w:val="center"/>
                </w:tcPr>
                <w:p>
                  <w:pPr>
                    <w:pStyle w:val="47"/>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2</w:t>
                  </w:r>
                </w:p>
              </w:tc>
              <w:tc>
                <w:tcPr>
                  <w:tcW w:w="4553"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硫化氢/（mg/m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w:t>
                  </w:r>
                </w:p>
              </w:tc>
              <w:tc>
                <w:tcPr>
                  <w:tcW w:w="2659"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2" w:type="dxa"/>
                  <w:vAlign w:val="center"/>
                </w:tcPr>
                <w:p>
                  <w:pPr>
                    <w:pStyle w:val="47"/>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p>
              </w:tc>
              <w:tc>
                <w:tcPr>
                  <w:tcW w:w="4553"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臭气浓度/（无量纲）</w:t>
                  </w:r>
                </w:p>
              </w:tc>
              <w:tc>
                <w:tcPr>
                  <w:tcW w:w="2659"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2" w:type="dxa"/>
                  <w:vAlign w:val="center"/>
                </w:tcPr>
                <w:p>
                  <w:pPr>
                    <w:pStyle w:val="47"/>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4</w:t>
                  </w:r>
                </w:p>
              </w:tc>
              <w:tc>
                <w:tcPr>
                  <w:tcW w:w="4553"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甲烷/（指处理站内最高体积百分数/%）</w:t>
                  </w:r>
                </w:p>
              </w:tc>
              <w:tc>
                <w:tcPr>
                  <w:tcW w:w="2659" w:type="dxa"/>
                  <w:vAlign w:val="center"/>
                </w:tcPr>
                <w:p>
                  <w:pPr>
                    <w:pStyle w:val="47"/>
                    <w:rPr>
                      <w:rFonts w:hint="eastAsia"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2" w:type="dxa"/>
                  <w:vAlign w:val="center"/>
                </w:tcPr>
                <w:p>
                  <w:pPr>
                    <w:widowControl/>
                    <w:adjustRightInd w:val="0"/>
                    <w:snapToGrid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w:t>
                  </w:r>
                </w:p>
              </w:tc>
              <w:tc>
                <w:tcPr>
                  <w:tcW w:w="4553" w:type="dxa"/>
                  <w:vAlign w:val="center"/>
                </w:tcPr>
                <w:p>
                  <w:pPr>
                    <w:widowControl/>
                    <w:adjustRightInd w:val="0"/>
                    <w:snapToGrid w:val="0"/>
                    <w:jc w:val="center"/>
                    <w:rPr>
                      <w:rFonts w:hint="eastAsia" w:ascii="宋体" w:hAnsi="宋体" w:eastAsia="宋体" w:cs="宋体"/>
                      <w:color w:val="auto"/>
                      <w:sz w:val="18"/>
                      <w:szCs w:val="18"/>
                    </w:rPr>
                  </w:pPr>
                  <w:r>
                    <w:rPr>
                      <w:rFonts w:hint="default" w:ascii="Times New Roman" w:hAnsi="Times New Roman" w:cs="Times New Roman"/>
                      <w:bCs/>
                      <w:color w:val="auto"/>
                      <w:sz w:val="18"/>
                      <w:szCs w:val="18"/>
                    </w:rPr>
                    <w:t>氯气</w:t>
                  </w:r>
                  <w:r>
                    <w:rPr>
                      <w:rFonts w:hint="eastAsia" w:ascii="Times New Roman" w:hAnsi="Times New Roman" w:cs="Times New Roman"/>
                      <w:bCs/>
                      <w:color w:val="auto"/>
                      <w:sz w:val="18"/>
                      <w:szCs w:val="18"/>
                      <w:lang w:eastAsia="zh-CN"/>
                    </w:rPr>
                    <w:t>（</w:t>
                  </w:r>
                  <w:r>
                    <w:rPr>
                      <w:rFonts w:hint="default" w:ascii="Times New Roman" w:hAnsi="Times New Roman" w:cs="Times New Roman"/>
                      <w:bCs/>
                      <w:color w:val="auto"/>
                      <w:sz w:val="18"/>
                      <w:szCs w:val="18"/>
                    </w:rPr>
                    <w:t>mg/m</w:t>
                  </w:r>
                  <w:r>
                    <w:rPr>
                      <w:rFonts w:hint="default" w:ascii="Times New Roman" w:hAnsi="Times New Roman" w:cs="Times New Roman"/>
                      <w:bCs/>
                      <w:color w:val="auto"/>
                      <w:sz w:val="18"/>
                      <w:szCs w:val="18"/>
                      <w:vertAlign w:val="superscript"/>
                    </w:rPr>
                    <w:t>3</w:t>
                  </w:r>
                  <w:r>
                    <w:rPr>
                      <w:rFonts w:hint="eastAsia" w:ascii="Times New Roman" w:hAnsi="Times New Roman" w:cs="Times New Roman"/>
                      <w:bCs/>
                      <w:color w:val="auto"/>
                      <w:sz w:val="18"/>
                      <w:szCs w:val="18"/>
                      <w:lang w:eastAsia="zh-CN"/>
                    </w:rPr>
                    <w:t>）</w:t>
                  </w:r>
                </w:p>
              </w:tc>
              <w:tc>
                <w:tcPr>
                  <w:tcW w:w="2659" w:type="dxa"/>
                  <w:vAlign w:val="center"/>
                </w:tcPr>
                <w:p>
                  <w:pPr>
                    <w:widowControl/>
                    <w:adjustRightInd w:val="0"/>
                    <w:snapToGrid w:val="0"/>
                    <w:jc w:val="center"/>
                    <w:rPr>
                      <w:rFonts w:hint="eastAsia" w:ascii="宋体" w:hAnsi="宋体" w:eastAsia="宋体" w:cs="宋体"/>
                      <w:color w:val="auto"/>
                      <w:sz w:val="18"/>
                      <w:szCs w:val="18"/>
                    </w:rPr>
                  </w:pPr>
                  <w:r>
                    <w:rPr>
                      <w:rFonts w:hint="default" w:ascii="Times New Roman" w:hAnsi="Times New Roman" w:cs="Times New Roman"/>
                      <w:bCs/>
                      <w:color w:val="auto"/>
                      <w:sz w:val="18"/>
                      <w:szCs w:val="18"/>
                    </w:rPr>
                    <w:t>0.1</w:t>
                  </w:r>
                </w:p>
              </w:tc>
            </w:tr>
          </w:tbl>
          <w:p>
            <w:pPr>
              <w:autoSpaceDE w:val="0"/>
              <w:autoSpaceDN w:val="0"/>
              <w:adjustRightInd w:val="0"/>
              <w:spacing w:line="360" w:lineRule="auto"/>
              <w:ind w:firstLine="0" w:firstLineChars="0"/>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lang w:val="en-US" w:eastAsia="zh-CN"/>
              </w:rPr>
              <w:t>3.8.</w:t>
            </w:r>
            <w:r>
              <w:rPr>
                <w:rFonts w:hint="eastAsia" w:ascii="宋体" w:hAnsi="宋体" w:eastAsia="宋体" w:cs="宋体"/>
                <w:b/>
                <w:bCs w:val="0"/>
                <w:color w:val="auto"/>
                <w:kern w:val="0"/>
                <w:sz w:val="24"/>
                <w:szCs w:val="24"/>
              </w:rPr>
              <w:t>2</w:t>
            </w:r>
            <w:r>
              <w:rPr>
                <w:rFonts w:hint="eastAsia" w:ascii="宋体" w:hAnsi="宋体" w:eastAsia="宋体" w:cs="宋体"/>
                <w:b/>
                <w:bCs w:val="0"/>
                <w:color w:val="auto"/>
                <w:kern w:val="0"/>
                <w:sz w:val="24"/>
                <w:szCs w:val="24"/>
                <w:lang w:val="en-US" w:eastAsia="zh-CN"/>
              </w:rPr>
              <w:t xml:space="preserve"> </w:t>
            </w:r>
            <w:r>
              <w:rPr>
                <w:rFonts w:hint="eastAsia" w:ascii="宋体" w:hAnsi="宋体" w:eastAsia="宋体" w:cs="宋体"/>
                <w:b/>
                <w:bCs w:val="0"/>
                <w:color w:val="auto"/>
                <w:kern w:val="0"/>
                <w:sz w:val="24"/>
                <w:szCs w:val="24"/>
              </w:rPr>
              <w:t>废水排放标准</w:t>
            </w:r>
          </w:p>
          <w:p>
            <w:pPr>
              <w:adjustRightInd w:val="0"/>
              <w:snapToGri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项目运营期废水经自建的污水处理站处理达（GB18466-2005）《医疗机构水污染物排放标准》表2中预处理标准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氨氮、总磷执行《污水排入城镇下水道水质标准》（GB/T31962-2015）表1中A等级标准，排入市政污水管网，最终进入</w:t>
            </w:r>
            <w:r>
              <w:rPr>
                <w:rFonts w:hint="eastAsia" w:ascii="宋体" w:hAnsi="宋体" w:eastAsia="宋体" w:cs="宋体"/>
                <w:color w:val="auto"/>
                <w:sz w:val="24"/>
                <w:szCs w:val="24"/>
                <w:lang w:val="en-US" w:eastAsia="zh-CN"/>
              </w:rPr>
              <w:t>勐海县污水处理厂</w:t>
            </w:r>
            <w:r>
              <w:rPr>
                <w:rFonts w:hint="eastAsia" w:ascii="宋体" w:hAnsi="宋体" w:eastAsia="宋体" w:cs="宋体"/>
                <w:color w:val="auto"/>
                <w:sz w:val="24"/>
                <w:szCs w:val="24"/>
              </w:rPr>
              <w:t>。项目废水排放标准如下。</w:t>
            </w:r>
          </w:p>
          <w:p>
            <w:pPr>
              <w:tabs>
                <w:tab w:val="left" w:pos="1332"/>
              </w:tabs>
              <w:ind w:left="434"/>
              <w:jc w:val="center"/>
              <w:rPr>
                <w:rFonts w:hint="eastAsia" w:ascii="黑体" w:hAnsi="黑体" w:eastAsia="黑体" w:cs="黑体"/>
                <w:bCs/>
                <w:color w:val="auto"/>
                <w:sz w:val="21"/>
                <w:szCs w:val="21"/>
              </w:rPr>
            </w:pPr>
            <w:r>
              <w:rPr>
                <w:rFonts w:hint="eastAsia" w:ascii="黑体" w:hAnsi="黑体" w:eastAsia="黑体" w:cs="黑体"/>
                <w:bCs/>
                <w:color w:val="auto"/>
                <w:sz w:val="21"/>
                <w:szCs w:val="21"/>
              </w:rPr>
              <w:t>表 3-</w:t>
            </w:r>
            <w:r>
              <w:rPr>
                <w:rFonts w:hint="eastAsia" w:ascii="黑体" w:hAnsi="黑体" w:eastAsia="黑体" w:cs="黑体"/>
                <w:bCs/>
                <w:color w:val="auto"/>
                <w:sz w:val="21"/>
                <w:szCs w:val="21"/>
                <w:lang w:val="en-US" w:eastAsia="zh-CN"/>
              </w:rPr>
              <w:t>4</w:t>
            </w:r>
            <w:r>
              <w:rPr>
                <w:rFonts w:hint="eastAsia" w:ascii="黑体" w:hAnsi="黑体" w:eastAsia="黑体" w:cs="黑体"/>
                <w:bCs/>
                <w:color w:val="auto"/>
                <w:sz w:val="21"/>
                <w:szCs w:val="21"/>
              </w:rPr>
              <w:t xml:space="preserve">  《医疗机构水污染物排放标准》表2标准</w:t>
            </w:r>
          </w:p>
          <w:tbl>
            <w:tblPr>
              <w:tblStyle w:val="26"/>
              <w:tblW w:w="796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6"/>
              <w:gridCol w:w="4794"/>
              <w:gridCol w:w="232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bookmarkStart w:id="51" w:name="_Toc189109859"/>
                  <w:r>
                    <w:rPr>
                      <w:rFonts w:hint="default" w:ascii="Times New Roman" w:hAnsi="Times New Roman" w:cs="Times New Roman"/>
                      <w:color w:val="auto"/>
                      <w:sz w:val="18"/>
                      <w:szCs w:val="18"/>
                    </w:rPr>
                    <w:t>序号</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控制项目</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eastAsia" w:ascii="Times New Roman" w:hAnsi="Times New Roman" w:cs="Times New Roman"/>
                      <w:color w:val="auto"/>
                      <w:sz w:val="18"/>
                      <w:szCs w:val="18"/>
                      <w:lang w:val="en-US" w:eastAsia="zh-CN"/>
                    </w:rPr>
                    <w:t>预处理</w:t>
                  </w:r>
                  <w:r>
                    <w:rPr>
                      <w:rFonts w:hint="default" w:ascii="Times New Roman" w:hAnsi="Times New Roman" w:cs="Times New Roman"/>
                      <w:color w:val="auto"/>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粪大肠菌群数/（MPN/L）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500</w:t>
                  </w:r>
                  <w:r>
                    <w:rPr>
                      <w:rFonts w:hint="default" w:ascii="Times New Roman" w:hAnsi="Times New Roman" w:cs="Times New Roman"/>
                      <w:color w:val="auto"/>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肠道致病菌</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肠道病毒</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pH</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化学需氧量（COD）浓度/（mg/L）</w:t>
                  </w:r>
                </w:p>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最高允许排放负荷/【g/（床位.d）】</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250</w:t>
                  </w:r>
                </w:p>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生化需氧量（BOD）浓度/（mg/L）</w:t>
                  </w:r>
                </w:p>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最高允许排放负荷/【g/（床位.d）】</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10</w:t>
                  </w:r>
                  <w:r>
                    <w:rPr>
                      <w:rFonts w:hint="default" w:ascii="Times New Roman" w:hAnsi="Times New Roman" w:cs="Times New Roman"/>
                      <w:color w:val="auto"/>
                      <w:sz w:val="18"/>
                      <w:szCs w:val="18"/>
                    </w:rPr>
                    <w:t>0</w:t>
                  </w:r>
                </w:p>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10</w:t>
                  </w:r>
                  <w:r>
                    <w:rPr>
                      <w:rFonts w:hint="default" w:ascii="Times New Roman" w:hAnsi="Times New Roman" w:cs="Times New Roman"/>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7</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悬浮物（SS）浓度/（mg/L）</w:t>
                  </w:r>
                </w:p>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最高允许排放负荷/【g/（床位.d）】</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6</w:t>
                  </w:r>
                  <w:r>
                    <w:rPr>
                      <w:rFonts w:hint="default" w:ascii="Times New Roman" w:hAnsi="Times New Roman" w:cs="Times New Roman"/>
                      <w:color w:val="auto"/>
                      <w:sz w:val="18"/>
                      <w:szCs w:val="18"/>
                    </w:rPr>
                    <w:t>0</w:t>
                  </w:r>
                </w:p>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6</w:t>
                  </w:r>
                  <w:r>
                    <w:rPr>
                      <w:rFonts w:hint="default" w:ascii="Times New Roman" w:hAnsi="Times New Roman" w:cs="Times New Roman"/>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8</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氨氮/（mg/L）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9</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动植物油/（mg/L）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10</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石油类/（mg/L）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11</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阴离子表面活性剂/（mg/L）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12</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色度/（稀释倍数）</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13</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挥发酚/（mg/L）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14</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总氰化物/（mg/L）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15</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总汞/（mg/L）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16</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总镉/（mg/L）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17</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总铬/（mg/L）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18</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六价铬/（mg/L）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19</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总砷/（mg/L）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20</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总铅</w:t>
                  </w:r>
                  <w:r>
                    <w:rPr>
                      <w:rFonts w:hint="default" w:ascii="Times New Roman" w:hAnsi="Times New Roman" w:cs="Times New Roman"/>
                      <w:color w:val="auto"/>
                      <w:sz w:val="18"/>
                      <w:szCs w:val="18"/>
                    </w:rPr>
                    <w:t>（mg/L）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21</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总银</w:t>
                  </w:r>
                  <w:r>
                    <w:rPr>
                      <w:rFonts w:hint="default" w:ascii="Times New Roman" w:hAnsi="Times New Roman" w:cs="Times New Roman"/>
                      <w:color w:val="auto"/>
                      <w:sz w:val="18"/>
                      <w:szCs w:val="18"/>
                    </w:rPr>
                    <w:t>（mg/L）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846"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22</w:t>
                  </w:r>
                </w:p>
              </w:tc>
              <w:tc>
                <w:tcPr>
                  <w:tcW w:w="479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总余氯1），2）/（mg/L）</w:t>
                  </w:r>
                </w:p>
              </w:tc>
              <w:tc>
                <w:tcPr>
                  <w:tcW w:w="2324" w:type="dxa"/>
                  <w:vAlign w:val="center"/>
                </w:tcPr>
                <w:p>
                  <w:pPr>
                    <w:keepNext w:val="0"/>
                    <w:keepLines w:val="0"/>
                    <w:pageBreakBefore w:val="0"/>
                    <w:kinsoku/>
                    <w:wordWrap/>
                    <w:overflowPunct/>
                    <w:topLinePunct w:val="0"/>
                    <w:bidi w:val="0"/>
                    <w:adjustRightInd/>
                    <w:snapToGrid/>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7964" w:type="dxa"/>
                  <w:gridSpan w:val="3"/>
                  <w:vAlign w:val="center"/>
                </w:tcPr>
                <w:p>
                  <w:pPr>
                    <w:keepNext w:val="0"/>
                    <w:keepLines w:val="0"/>
                    <w:pageBreakBefore w:val="0"/>
                    <w:kinsoku/>
                    <w:wordWrap/>
                    <w:overflowPunct/>
                    <w:topLinePunct w:val="0"/>
                    <w:bidi w:val="0"/>
                    <w:adjustRightInd/>
                    <w:snapToGrid/>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注：1）采用含氯消毒剂消毒的工艺控制要求为：</w:t>
                  </w:r>
                </w:p>
                <w:p>
                  <w:pPr>
                    <w:keepNext w:val="0"/>
                    <w:keepLines w:val="0"/>
                    <w:pageBreakBefore w:val="0"/>
                    <w:kinsoku/>
                    <w:wordWrap/>
                    <w:overflowPunct/>
                    <w:topLinePunct w:val="0"/>
                    <w:bidi w:val="0"/>
                    <w:adjustRightInd/>
                    <w:snapToGrid/>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预处理标准：消毒接触池接触时间≥1h，接触池出口总余氯2~8 mg/L。</w:t>
                  </w:r>
                </w:p>
                <w:p>
                  <w:pPr>
                    <w:keepNext w:val="0"/>
                    <w:keepLines w:val="0"/>
                    <w:pageBreakBefore w:val="0"/>
                    <w:kinsoku/>
                    <w:wordWrap/>
                    <w:overflowPunct/>
                    <w:topLinePunct w:val="0"/>
                    <w:bidi w:val="0"/>
                    <w:adjustRightInd/>
                    <w:snapToGrid/>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2）采用其他消毒剂对总余氯不做要求。</w:t>
                  </w:r>
                </w:p>
              </w:tc>
            </w:tr>
            <w:bookmarkEnd w:id="51"/>
          </w:tbl>
          <w:p>
            <w:pPr>
              <w:tabs>
                <w:tab w:val="left" w:pos="1332"/>
              </w:tabs>
              <w:jc w:val="both"/>
              <w:rPr>
                <w:rFonts w:hint="eastAsia" w:ascii="宋体" w:hAnsi="宋体" w:eastAsia="宋体" w:cs="宋体"/>
                <w:bCs/>
                <w:color w:val="auto"/>
                <w:sz w:val="24"/>
                <w:szCs w:val="24"/>
              </w:rPr>
            </w:pPr>
          </w:p>
          <w:p>
            <w:pPr>
              <w:tabs>
                <w:tab w:val="left" w:pos="1332"/>
              </w:tabs>
              <w:ind w:left="434"/>
              <w:jc w:val="center"/>
              <w:rPr>
                <w:rFonts w:hint="eastAsia" w:ascii="黑体" w:hAnsi="黑体" w:eastAsia="黑体" w:cs="黑体"/>
                <w:bCs/>
                <w:color w:val="auto"/>
                <w:sz w:val="21"/>
                <w:szCs w:val="21"/>
              </w:rPr>
            </w:pPr>
            <w:r>
              <w:rPr>
                <w:rFonts w:hint="eastAsia" w:ascii="黑体" w:hAnsi="黑体" w:eastAsia="黑体" w:cs="黑体"/>
                <w:bCs/>
                <w:color w:val="auto"/>
                <w:sz w:val="21"/>
                <w:szCs w:val="21"/>
              </w:rPr>
              <w:t>表3-</w:t>
            </w:r>
            <w:r>
              <w:rPr>
                <w:rFonts w:hint="eastAsia" w:ascii="黑体" w:hAnsi="黑体" w:eastAsia="黑体" w:cs="黑体"/>
                <w:bCs/>
                <w:color w:val="auto"/>
                <w:sz w:val="21"/>
                <w:szCs w:val="21"/>
                <w:lang w:val="en-US" w:eastAsia="zh-CN"/>
              </w:rPr>
              <w:t>5</w:t>
            </w:r>
            <w:r>
              <w:rPr>
                <w:rFonts w:hint="eastAsia" w:ascii="黑体" w:hAnsi="黑体" w:eastAsia="黑体" w:cs="黑体"/>
                <w:bCs/>
                <w:color w:val="auto"/>
                <w:sz w:val="21"/>
                <w:szCs w:val="21"/>
              </w:rPr>
              <w:t xml:space="preserve">  污水排入城镇下水道水质标准（A等级）</w:t>
            </w:r>
          </w:p>
          <w:tbl>
            <w:tblPr>
              <w:tblStyle w:val="26"/>
              <w:tblW w:w="7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2655"/>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2655"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控制项目</w:t>
                  </w:r>
                </w:p>
              </w:tc>
              <w:tc>
                <w:tcPr>
                  <w:tcW w:w="2654"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2655"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氨氮</w:t>
                  </w:r>
                </w:p>
              </w:tc>
              <w:tc>
                <w:tcPr>
                  <w:tcW w:w="2654"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2655"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总磷</w:t>
                  </w:r>
                </w:p>
              </w:tc>
              <w:tc>
                <w:tcPr>
                  <w:tcW w:w="2654"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w:t>
                  </w:r>
                </w:p>
              </w:tc>
            </w:tr>
          </w:tbl>
          <w:p>
            <w:pPr>
              <w:autoSpaceDE w:val="0"/>
              <w:autoSpaceDN w:val="0"/>
              <w:adjustRightInd w:val="0"/>
              <w:spacing w:line="360" w:lineRule="auto"/>
              <w:ind w:firstLine="0" w:firstLineChars="0"/>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lang w:val="en-US" w:eastAsia="zh-CN"/>
              </w:rPr>
              <w:t>3.8.</w:t>
            </w:r>
            <w:r>
              <w:rPr>
                <w:rFonts w:hint="eastAsia" w:ascii="宋体" w:hAnsi="宋体" w:eastAsia="宋体" w:cs="宋体"/>
                <w:b/>
                <w:bCs w:val="0"/>
                <w:color w:val="auto"/>
                <w:kern w:val="0"/>
                <w:sz w:val="24"/>
                <w:szCs w:val="24"/>
              </w:rPr>
              <w:t>3</w:t>
            </w:r>
            <w:r>
              <w:rPr>
                <w:rFonts w:hint="eastAsia" w:ascii="宋体" w:hAnsi="宋体" w:eastAsia="宋体" w:cs="宋体"/>
                <w:b/>
                <w:bCs w:val="0"/>
                <w:color w:val="auto"/>
                <w:kern w:val="0"/>
                <w:sz w:val="24"/>
                <w:szCs w:val="24"/>
                <w:lang w:val="en-US" w:eastAsia="zh-CN"/>
              </w:rPr>
              <w:t xml:space="preserve"> </w:t>
            </w:r>
            <w:r>
              <w:rPr>
                <w:rFonts w:hint="eastAsia" w:ascii="宋体" w:hAnsi="宋体" w:eastAsia="宋体" w:cs="宋体"/>
                <w:b/>
                <w:bCs w:val="0"/>
                <w:color w:val="auto"/>
                <w:kern w:val="0"/>
                <w:sz w:val="24"/>
                <w:szCs w:val="24"/>
              </w:rPr>
              <w:t>噪声排放标准</w:t>
            </w:r>
          </w:p>
          <w:p>
            <w:pPr>
              <w:spacing w:line="360" w:lineRule="auto"/>
              <w:ind w:firstLine="560"/>
              <w:rPr>
                <w:rFonts w:hint="eastAsia" w:ascii="宋体" w:hAnsi="宋体" w:eastAsia="宋体" w:cs="宋体"/>
                <w:b/>
                <w:bCs/>
                <w:color w:val="auto"/>
                <w:sz w:val="24"/>
                <w:szCs w:val="24"/>
              </w:rPr>
            </w:pPr>
            <w:r>
              <w:rPr>
                <w:rFonts w:hint="eastAsia" w:ascii="宋体" w:hAnsi="宋体" w:eastAsia="宋体" w:cs="宋体"/>
                <w:bCs/>
                <w:color w:val="auto"/>
                <w:kern w:val="0"/>
                <w:sz w:val="24"/>
                <w:szCs w:val="24"/>
              </w:rPr>
              <w:t>营运期</w:t>
            </w:r>
            <w:r>
              <w:rPr>
                <w:rFonts w:hint="eastAsia" w:ascii="宋体" w:hAnsi="宋体" w:eastAsia="宋体" w:cs="宋体"/>
                <w:bCs/>
                <w:color w:val="auto"/>
                <w:kern w:val="0"/>
                <w:sz w:val="24"/>
                <w:szCs w:val="24"/>
                <w:lang w:val="en-US" w:eastAsia="zh-CN"/>
              </w:rPr>
              <w:t>项目区</w:t>
            </w:r>
            <w:r>
              <w:rPr>
                <w:rFonts w:hint="eastAsia" w:ascii="宋体" w:hAnsi="宋体" w:cs="宋体"/>
                <w:bCs/>
                <w:color w:val="auto"/>
                <w:kern w:val="0"/>
                <w:sz w:val="24"/>
                <w:szCs w:val="24"/>
                <w:lang w:val="en-US" w:eastAsia="zh-CN"/>
              </w:rPr>
              <w:t>厂界</w:t>
            </w:r>
            <w:r>
              <w:rPr>
                <w:rFonts w:hint="eastAsia" w:ascii="宋体" w:hAnsi="宋体" w:eastAsia="宋体" w:cs="宋体"/>
                <w:bCs/>
                <w:color w:val="auto"/>
                <w:kern w:val="0"/>
                <w:sz w:val="24"/>
                <w:szCs w:val="24"/>
              </w:rPr>
              <w:t>声环境执行《工业企业厂界环境噪声排放标准》(GB12348-2008)</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类标准</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rPr>
              <w:t>具体标准限值详见</w:t>
            </w:r>
            <w:r>
              <w:rPr>
                <w:rFonts w:hint="eastAsia" w:ascii="宋体" w:hAnsi="宋体" w:eastAsia="宋体" w:cs="宋体"/>
                <w:color w:val="auto"/>
                <w:sz w:val="24"/>
                <w:szCs w:val="24"/>
              </w:rPr>
              <w:t>表3-</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p>
          <w:p>
            <w:pPr>
              <w:spacing w:line="360" w:lineRule="auto"/>
              <w:ind w:firstLine="0" w:firstLineChars="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表3-</w:t>
            </w:r>
            <w:r>
              <w:rPr>
                <w:rFonts w:hint="eastAsia" w:ascii="黑体" w:hAnsi="黑体" w:eastAsia="黑体" w:cs="黑体"/>
                <w:b w:val="0"/>
                <w:bCs w:val="0"/>
                <w:color w:val="auto"/>
                <w:sz w:val="21"/>
                <w:szCs w:val="21"/>
                <w:lang w:val="en-US" w:eastAsia="zh-CN"/>
              </w:rPr>
              <w:t>6</w:t>
            </w:r>
            <w:r>
              <w:rPr>
                <w:rFonts w:hint="eastAsia" w:ascii="黑体" w:hAnsi="黑体" w:eastAsia="黑体" w:cs="黑体"/>
                <w:b w:val="0"/>
                <w:bCs w:val="0"/>
                <w:color w:val="auto"/>
                <w:sz w:val="21"/>
                <w:szCs w:val="21"/>
              </w:rPr>
              <w:t xml:space="preserve"> 工业企业厂界环境噪声排放限值（摘录）单位dB(A)</w:t>
            </w:r>
          </w:p>
          <w:tbl>
            <w:tblPr>
              <w:tblStyle w:val="26"/>
              <w:tblW w:w="78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3"/>
              <w:gridCol w:w="2507"/>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883" w:type="dxa"/>
                  <w:vMerge w:val="restart"/>
                  <w:shd w:val="clear" w:color="auto" w:fill="auto"/>
                  <w:vAlign w:val="center"/>
                </w:tcPr>
                <w:p>
                  <w:pPr>
                    <w:snapToGrid w:val="0"/>
                    <w:spacing w:line="36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厂界外声环境功能区类别</w:t>
                  </w:r>
                </w:p>
              </w:tc>
              <w:tc>
                <w:tcPr>
                  <w:tcW w:w="5016" w:type="dxa"/>
                  <w:gridSpan w:val="2"/>
                  <w:shd w:val="clear" w:color="auto" w:fill="auto"/>
                  <w:vAlign w:val="center"/>
                </w:tcPr>
                <w:p>
                  <w:pPr>
                    <w:snapToGrid w:val="0"/>
                    <w:spacing w:line="36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883" w:type="dxa"/>
                  <w:vMerge w:val="continue"/>
                  <w:shd w:val="clear" w:color="auto" w:fill="auto"/>
                  <w:vAlign w:val="center"/>
                </w:tcPr>
                <w:p>
                  <w:pPr>
                    <w:snapToGrid w:val="0"/>
                    <w:spacing w:line="360" w:lineRule="auto"/>
                    <w:ind w:firstLine="482"/>
                    <w:jc w:val="center"/>
                    <w:rPr>
                      <w:rFonts w:hint="eastAsia" w:ascii="宋体" w:hAnsi="宋体" w:eastAsia="宋体" w:cs="宋体"/>
                      <w:b/>
                      <w:bCs/>
                      <w:color w:val="auto"/>
                      <w:sz w:val="18"/>
                      <w:szCs w:val="18"/>
                    </w:rPr>
                  </w:pPr>
                </w:p>
              </w:tc>
              <w:tc>
                <w:tcPr>
                  <w:tcW w:w="2507" w:type="dxa"/>
                  <w:shd w:val="clear" w:color="auto" w:fill="auto"/>
                  <w:vAlign w:val="center"/>
                </w:tcPr>
                <w:p>
                  <w:pPr>
                    <w:snapToGrid w:val="0"/>
                    <w:spacing w:line="36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昼间</w:t>
                  </w:r>
                </w:p>
              </w:tc>
              <w:tc>
                <w:tcPr>
                  <w:tcW w:w="2509" w:type="dxa"/>
                  <w:shd w:val="clear" w:color="auto" w:fill="auto"/>
                  <w:vAlign w:val="center"/>
                </w:tcPr>
                <w:p>
                  <w:pPr>
                    <w:snapToGrid w:val="0"/>
                    <w:spacing w:line="36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883" w:type="dxa"/>
                  <w:vAlign w:val="center"/>
                </w:tcPr>
                <w:p>
                  <w:pPr>
                    <w:snapToGrid w:val="0"/>
                    <w:spacing w:line="36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类</w:t>
                  </w:r>
                </w:p>
              </w:tc>
              <w:tc>
                <w:tcPr>
                  <w:tcW w:w="2507"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60</w:t>
                  </w:r>
                </w:p>
              </w:tc>
              <w:tc>
                <w:tcPr>
                  <w:tcW w:w="2509"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r>
          </w:tbl>
          <w:p>
            <w:pPr>
              <w:autoSpaceDE w:val="0"/>
              <w:autoSpaceDN w:val="0"/>
              <w:adjustRightInd w:val="0"/>
              <w:spacing w:line="360" w:lineRule="auto"/>
              <w:ind w:firstLine="0" w:firstLineChars="0"/>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lang w:val="en-US" w:eastAsia="zh-CN"/>
              </w:rPr>
              <w:t>3.8.</w:t>
            </w:r>
            <w:r>
              <w:rPr>
                <w:rFonts w:hint="eastAsia" w:ascii="宋体" w:hAnsi="宋体" w:eastAsia="宋体" w:cs="宋体"/>
                <w:b/>
                <w:bCs w:val="0"/>
                <w:color w:val="auto"/>
                <w:kern w:val="0"/>
                <w:sz w:val="24"/>
                <w:szCs w:val="24"/>
              </w:rPr>
              <w:t>4</w:t>
            </w:r>
            <w:r>
              <w:rPr>
                <w:rFonts w:hint="eastAsia" w:ascii="宋体" w:hAnsi="宋体" w:eastAsia="宋体" w:cs="宋体"/>
                <w:b/>
                <w:bCs w:val="0"/>
                <w:color w:val="auto"/>
                <w:kern w:val="0"/>
                <w:sz w:val="24"/>
                <w:szCs w:val="24"/>
                <w:lang w:val="en-US" w:eastAsia="zh-CN"/>
              </w:rPr>
              <w:t xml:space="preserve"> </w:t>
            </w:r>
            <w:r>
              <w:rPr>
                <w:rFonts w:hint="eastAsia" w:ascii="宋体" w:hAnsi="宋体" w:eastAsia="宋体" w:cs="宋体"/>
                <w:b/>
                <w:bCs w:val="0"/>
                <w:color w:val="auto"/>
                <w:kern w:val="0"/>
                <w:sz w:val="24"/>
                <w:szCs w:val="24"/>
              </w:rPr>
              <w:t>固废排放标准</w:t>
            </w:r>
          </w:p>
          <w:p>
            <w:pPr>
              <w:autoSpaceDE w:val="0"/>
              <w:autoSpaceDN w:val="0"/>
              <w:adjustRightInd w:val="0"/>
              <w:spacing w:line="360" w:lineRule="auto"/>
              <w:ind w:firstLine="56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（1）医疗废物</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无传染科、结核科，运营期医院污水处理站污泥进行消毒处理，达到《医疗机构水污染物排放标准》（GB18466-2005）表4综合医疗机构和其他医疗机构污泥控制标准：粪大肠菌群数≤100MPN/g，蛔虫卵死亡率＞95%，后委托有资质单位进行清运处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医疗废物执行《医疗废物处理处置污染控制标准》GB 39707—2020、《危险废物贮存污染控制标准》（GB18597-20</w:t>
            </w: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）、《医疗废物管理条例》有关规定。</w:t>
            </w:r>
          </w:p>
          <w:p>
            <w:pPr>
              <w:autoSpaceDE w:val="0"/>
              <w:autoSpaceDN w:val="0"/>
              <w:adjustRightInd w:val="0"/>
              <w:spacing w:line="360" w:lineRule="auto"/>
              <w:ind w:firstLine="56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（2）一般固废</w:t>
            </w:r>
          </w:p>
          <w:p>
            <w:pPr>
              <w:autoSpaceDE w:val="0"/>
              <w:autoSpaceDN w:val="0"/>
              <w:adjustRightInd w:val="0"/>
              <w:spacing w:line="360" w:lineRule="auto"/>
              <w:ind w:firstLine="56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营运期生活垃圾按照《一般工业固体废物贮存和填埋污染控制标准》（GB18599-2020）的相关要求进行处置。</w:t>
            </w:r>
          </w:p>
          <w:p>
            <w:pPr>
              <w:autoSpaceDE w:val="0"/>
              <w:autoSpaceDN w:val="0"/>
              <w:adjustRightInd w:val="0"/>
              <w:spacing w:line="360" w:lineRule="auto"/>
              <w:ind w:firstLine="56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（3）危险废物</w:t>
            </w:r>
          </w:p>
          <w:p>
            <w:pPr>
              <w:adjustRightInd w:val="0"/>
              <w:snapToGrid w:val="0"/>
              <w:spacing w:line="360" w:lineRule="auto"/>
              <w:ind w:firstLine="480" w:firstLineChars="200"/>
              <w:jc w:val="both"/>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危险废物贮存执行《危险废物贮存污染控制标准》(GB18597-20</w:t>
            </w:r>
            <w:r>
              <w:rPr>
                <w:rFonts w:hint="eastAsia" w:ascii="宋体" w:hAnsi="宋体" w:eastAsia="宋体" w:cs="宋体"/>
                <w:bCs/>
                <w:color w:val="auto"/>
                <w:kern w:val="0"/>
                <w:sz w:val="24"/>
                <w:szCs w:val="24"/>
                <w:lang w:val="en-US" w:eastAsia="zh-CN"/>
              </w:rPr>
              <w:t>23</w:t>
            </w:r>
            <w:r>
              <w:rPr>
                <w:rFonts w:hint="eastAsia" w:ascii="宋体" w:hAnsi="宋体" w:eastAsia="宋体" w:cs="宋体"/>
                <w:bCs/>
                <w:color w:val="auto"/>
                <w:kern w:val="0"/>
                <w:sz w:val="24"/>
                <w:szCs w:val="24"/>
              </w:rPr>
              <w:t>)。</w:t>
            </w:r>
            <w:r>
              <w:rPr>
                <w:rFonts w:hint="eastAsia" w:ascii="宋体" w:hAnsi="宋体" w:eastAsia="宋体" w:cs="宋体"/>
                <w:color w:val="auto"/>
                <w:sz w:val="24"/>
                <w:szCs w:val="24"/>
              </w:rPr>
              <w:t>营运期医院污水处理污泥（含栅渣、化粪池和污水处理站污泥）排放执行《医疗机构水污染物排放标准》GB18466-2005 表 4 综合医疗机构污泥控制标准：粪大肠菌群数≤100MPN/g、蛔虫卵死亡率&gt;95%。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00" w:type="dxa"/>
            <w:vAlign w:val="center"/>
          </w:tcPr>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总量</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控制</w:t>
            </w:r>
          </w:p>
          <w:p>
            <w:pPr>
              <w:adjustRightInd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指标</w:t>
            </w:r>
          </w:p>
        </w:tc>
        <w:tc>
          <w:tcPr>
            <w:tcW w:w="8190" w:type="dxa"/>
            <w:vAlign w:val="center"/>
          </w:tcPr>
          <w:p>
            <w:pPr>
              <w:spacing w:line="360" w:lineRule="auto"/>
              <w:ind w:firstLine="560"/>
              <w:rPr>
                <w:rFonts w:hint="eastAsia" w:ascii="宋体" w:hAnsi="宋体" w:eastAsia="宋体" w:cs="宋体"/>
                <w:b/>
                <w:bCs/>
                <w:color w:val="auto"/>
                <w:sz w:val="24"/>
                <w:szCs w:val="24"/>
              </w:rPr>
            </w:pPr>
            <w:r>
              <w:rPr>
                <w:rFonts w:hint="eastAsia" w:ascii="宋体" w:hAnsi="宋体" w:eastAsia="宋体" w:cs="宋体"/>
                <w:b/>
                <w:bCs/>
                <w:color w:val="auto"/>
                <w:sz w:val="24"/>
                <w:szCs w:val="24"/>
              </w:rPr>
              <w:t>根据该建设项目排污状况，结合国家污染物排放总量控制原则，提出污染物排放总量控制指标如下：</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（1）废气</w:t>
            </w:r>
          </w:p>
          <w:p>
            <w:pPr>
              <w:adjustRightInd w:val="0"/>
              <w:snapToGrid w:val="0"/>
              <w:spacing w:line="360" w:lineRule="auto"/>
              <w:ind w:firstLine="480" w:firstLineChars="200"/>
              <w:rPr>
                <w:rFonts w:ascii="宋体" w:hAnsi="宋体" w:cs="宋体"/>
                <w:color w:val="auto"/>
                <w:sz w:val="24"/>
              </w:rPr>
            </w:pPr>
            <w:r>
              <w:rPr>
                <w:rFonts w:hint="eastAsia" w:ascii="宋体" w:hAnsi="宋体" w:eastAsia="宋体" w:cs="宋体"/>
                <w:color w:val="auto"/>
                <w:sz w:val="24"/>
                <w:szCs w:val="24"/>
              </w:rPr>
              <w:t>项目排放废气主要为H</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S、NH</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vertAlign w:val="baseline"/>
                <w:lang w:eastAsia="zh-CN"/>
              </w:rPr>
              <w:t>，</w:t>
            </w:r>
            <w:r>
              <w:rPr>
                <w:rFonts w:hint="eastAsia" w:ascii="宋体" w:hAnsi="宋体" w:eastAsia="宋体" w:cs="宋体"/>
                <w:color w:val="auto"/>
                <w:sz w:val="24"/>
                <w:szCs w:val="24"/>
              </w:rPr>
              <w:t>由于我国主要污染物总量控制种类不含H</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S、NH</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rPr>
              <w:t>，因此本项目不设置废气总量指标。</w:t>
            </w:r>
            <w:r>
              <w:rPr>
                <w:rFonts w:hint="eastAsia" w:ascii="宋体" w:hAnsi="宋体" w:cs="宋体"/>
                <w:color w:val="auto"/>
                <w:sz w:val="24"/>
                <w:lang w:val="en-US" w:eastAsia="zh-CN"/>
              </w:rPr>
              <w:t>项目废气排放量</w:t>
            </w:r>
            <w:r>
              <w:rPr>
                <w:rFonts w:hint="eastAsia" w:ascii="宋体" w:hAnsi="宋体" w:eastAsia="宋体" w:cs="宋体"/>
                <w:b w:val="0"/>
                <w:bCs w:val="0"/>
                <w:color w:val="auto"/>
                <w:sz w:val="24"/>
                <w:szCs w:val="24"/>
                <w:lang w:val="en-US" w:eastAsia="zh-CN"/>
              </w:rPr>
              <w:t>NH</w:t>
            </w:r>
            <w:r>
              <w:rPr>
                <w:rFonts w:hint="eastAsia" w:ascii="宋体" w:hAnsi="宋体" w:eastAsia="宋体" w:cs="宋体"/>
                <w:b w:val="0"/>
                <w:bCs w:val="0"/>
                <w:color w:val="auto"/>
                <w:sz w:val="24"/>
                <w:szCs w:val="24"/>
                <w:vertAlign w:val="subscript"/>
                <w:lang w:val="en-US" w:eastAsia="zh-CN"/>
              </w:rPr>
              <w:t>3</w:t>
            </w:r>
            <w:r>
              <w:rPr>
                <w:rFonts w:hint="eastAsia" w:ascii="宋体" w:hAnsi="宋体" w:eastAsia="宋体" w:cs="宋体"/>
                <w:b w:val="0"/>
                <w:bCs w:val="0"/>
                <w:color w:val="auto"/>
                <w:sz w:val="24"/>
                <w:szCs w:val="24"/>
                <w:vertAlign w:val="baseline"/>
                <w:lang w:val="en-US" w:eastAsia="zh-CN"/>
              </w:rPr>
              <w:t>:</w:t>
            </w:r>
            <w:r>
              <w:rPr>
                <w:rFonts w:hint="eastAsia" w:ascii="宋体" w:hAnsi="宋体" w:eastAsia="宋体" w:cs="宋体"/>
                <w:b w:val="0"/>
                <w:bCs w:val="0"/>
                <w:color w:val="auto"/>
                <w:sz w:val="24"/>
                <w:szCs w:val="24"/>
                <w:lang w:val="en-US" w:eastAsia="zh-CN"/>
              </w:rPr>
              <w:t>0.467kg/a，H</w:t>
            </w:r>
            <w:r>
              <w:rPr>
                <w:rFonts w:hint="eastAsia" w:ascii="宋体" w:hAnsi="宋体" w:eastAsia="宋体" w:cs="宋体"/>
                <w:b w:val="0"/>
                <w:bCs w:val="0"/>
                <w:color w:val="auto"/>
                <w:sz w:val="24"/>
                <w:szCs w:val="24"/>
                <w:vertAlign w:val="subscript"/>
                <w:lang w:val="en-US" w:eastAsia="zh-CN"/>
              </w:rPr>
              <w:t>2</w:t>
            </w:r>
            <w:r>
              <w:rPr>
                <w:rFonts w:hint="eastAsia" w:ascii="宋体" w:hAnsi="宋体" w:eastAsia="宋体" w:cs="宋体"/>
                <w:b w:val="0"/>
                <w:bCs w:val="0"/>
                <w:color w:val="auto"/>
                <w:sz w:val="24"/>
                <w:szCs w:val="24"/>
                <w:lang w:val="en-US" w:eastAsia="zh-CN"/>
              </w:rPr>
              <w:t>S:0.018kg/a。</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（2）废水</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本项目污水排放量为</w:t>
            </w:r>
            <w:r>
              <w:rPr>
                <w:rFonts w:hint="eastAsia" w:ascii="宋体" w:hAnsi="宋体" w:eastAsia="宋体" w:cs="宋体"/>
                <w:color w:val="auto"/>
                <w:sz w:val="24"/>
                <w:szCs w:val="24"/>
                <w:lang w:val="en-US" w:eastAsia="zh-CN"/>
              </w:rPr>
              <w:t>2774.73</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/a，污水中的COD、氨氮纳入污染物总量控制要求。</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周边配套污水管网建成并通达，具备接纳项目产生污水的条件，项目污水集中收集并进行预处理后排入周边市政污水管网，废水污染物总量控制指标计入勐海县污水处理厂的总量控制指标，不需另行申请总量控制指标。年排放水污染物总量控制值为COD</w:t>
            </w:r>
            <w:r>
              <w:rPr>
                <w:rFonts w:hint="eastAsia" w:ascii="宋体" w:hAnsi="宋体" w:eastAsia="宋体" w:cs="宋体"/>
                <w:color w:val="auto"/>
                <w:sz w:val="24"/>
                <w:szCs w:val="24"/>
                <w:lang w:val="en-US" w:eastAsia="zh-CN"/>
              </w:rPr>
              <w:t xml:space="preserve"> 0.10</w:t>
            </w:r>
            <w:r>
              <w:rPr>
                <w:rFonts w:hint="eastAsia" w:ascii="宋体" w:hAnsi="宋体" w:eastAsia="宋体" w:cs="宋体"/>
                <w:color w:val="auto"/>
                <w:sz w:val="24"/>
                <w:szCs w:val="24"/>
              </w:rPr>
              <w:t>t/a、NH</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rPr>
              <w:t>-N</w:t>
            </w:r>
            <w:r>
              <w:rPr>
                <w:rFonts w:hint="eastAsia" w:ascii="宋体" w:hAnsi="宋体" w:eastAsia="宋体" w:cs="宋体"/>
                <w:color w:val="auto"/>
                <w:sz w:val="24"/>
                <w:szCs w:val="24"/>
                <w:lang w:val="en-US" w:eastAsia="zh-CN"/>
              </w:rPr>
              <w:t xml:space="preserve"> 0.025</w:t>
            </w:r>
            <w:r>
              <w:rPr>
                <w:rFonts w:hint="eastAsia" w:ascii="宋体" w:hAnsi="宋体" w:eastAsia="宋体" w:cs="宋体"/>
                <w:color w:val="auto"/>
                <w:sz w:val="24"/>
                <w:szCs w:val="24"/>
              </w:rPr>
              <w:t>t/a。</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（3）固体废物</w:t>
            </w:r>
          </w:p>
          <w:p>
            <w:pPr>
              <w:adjustRightInd w:val="0"/>
              <w:snapToGrid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固体废物处置率100%。</w:t>
            </w:r>
          </w:p>
        </w:tc>
      </w:tr>
    </w:tbl>
    <w:p>
      <w:pPr>
        <w:pStyle w:val="21"/>
        <w:jc w:val="center"/>
        <w:outlineLvl w:val="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br w:type="page"/>
      </w:r>
      <w:bookmarkStart w:id="52" w:name="_Toc21894"/>
      <w:bookmarkStart w:id="53" w:name="_Toc17081"/>
      <w:bookmarkStart w:id="54" w:name="_Toc30442"/>
      <w:r>
        <w:rPr>
          <w:rFonts w:hint="eastAsia" w:ascii="宋体" w:hAnsi="宋体" w:eastAsia="宋体" w:cs="宋体"/>
          <w:snapToGrid w:val="0"/>
          <w:color w:val="auto"/>
          <w:sz w:val="32"/>
          <w:szCs w:val="32"/>
        </w:rPr>
        <w:t>四、主要环境影响和保护措施</w:t>
      </w:r>
      <w:bookmarkEnd w:id="52"/>
      <w:bookmarkEnd w:id="53"/>
      <w:bookmarkEnd w:id="54"/>
    </w:p>
    <w:tbl>
      <w:tblPr>
        <w:tblStyle w:val="26"/>
        <w:tblW w:w="890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53" w:hRule="atLeast"/>
          <w:jc w:val="center"/>
        </w:trPr>
        <w:tc>
          <w:tcPr>
            <w:tcW w:w="746" w:type="dxa"/>
            <w:tcMar>
              <w:left w:w="28" w:type="dxa"/>
              <w:right w:w="28" w:type="dxa"/>
            </w:tcMar>
            <w:vAlign w:val="center"/>
          </w:tcPr>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施工</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期环</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境保</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护措</w:t>
            </w:r>
          </w:p>
          <w:p>
            <w:pPr>
              <w:spacing w:line="360" w:lineRule="auto"/>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sz w:val="24"/>
                <w:szCs w:val="24"/>
              </w:rPr>
              <w:t>施</w:t>
            </w:r>
          </w:p>
        </w:tc>
        <w:tc>
          <w:tcPr>
            <w:tcW w:w="8162" w:type="dxa"/>
            <w:vAlign w:val="center"/>
          </w:tcPr>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施工</w:t>
            </w:r>
            <w:r>
              <w:rPr>
                <w:rFonts w:hint="eastAsia" w:ascii="宋体" w:hAnsi="宋体" w:eastAsia="宋体" w:cs="宋体"/>
                <w:b/>
                <w:bCs/>
                <w:color w:val="auto"/>
                <w:sz w:val="24"/>
                <w:szCs w:val="24"/>
              </w:rPr>
              <w:t>期环境影响和保护措施</w:t>
            </w:r>
          </w:p>
          <w:p>
            <w:pPr>
              <w:pStyle w:val="7"/>
              <w:spacing w:line="360" w:lineRule="auto"/>
              <w:ind w:firstLine="480" w:firstLineChars="200"/>
              <w:rPr>
                <w:rFonts w:hint="eastAsia" w:ascii="宋体" w:hAnsi="宋体" w:cs="宋体"/>
                <w:b w:val="0"/>
                <w:bCs w:val="0"/>
                <w:color w:val="auto"/>
                <w:sz w:val="24"/>
                <w:szCs w:val="24"/>
                <w:lang w:val="en-US" w:eastAsia="zh-CN"/>
              </w:rPr>
            </w:pPr>
            <w:r>
              <w:rPr>
                <w:rFonts w:hint="eastAsia" w:ascii="宋体" w:hAnsi="宋体" w:eastAsia="宋体" w:cs="宋体"/>
                <w:b w:val="0"/>
                <w:bCs w:val="0"/>
                <w:color w:val="auto"/>
                <w:sz w:val="24"/>
                <w:szCs w:val="24"/>
              </w:rPr>
              <w:t>根据</w:t>
            </w:r>
            <w:r>
              <w:rPr>
                <w:rFonts w:hint="eastAsia" w:ascii="宋体" w:hAnsi="宋体" w:eastAsia="宋体" w:cs="宋体"/>
                <w:b w:val="0"/>
                <w:bCs w:val="0"/>
                <w:color w:val="auto"/>
                <w:sz w:val="24"/>
                <w:szCs w:val="24"/>
                <w:lang w:val="en-US" w:eastAsia="zh-CN"/>
              </w:rPr>
              <w:t>与建设单位核实以及环评单位</w:t>
            </w:r>
            <w:r>
              <w:rPr>
                <w:rFonts w:hint="eastAsia" w:ascii="宋体" w:hAnsi="宋体" w:eastAsia="宋体" w:cs="宋体"/>
                <w:b w:val="0"/>
                <w:bCs w:val="0"/>
                <w:color w:val="auto"/>
                <w:sz w:val="24"/>
                <w:szCs w:val="24"/>
              </w:rPr>
              <w:t>现场踏勘</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项目主要建有综合楼一栋五层，2009年建设，其余医技楼、宿舍楼等均于</w:t>
            </w:r>
            <w:r>
              <w:rPr>
                <w:rFonts w:hint="eastAsia" w:ascii="宋体" w:hAnsi="宋体" w:eastAsia="宋体" w:cs="宋体"/>
                <w:b w:val="0"/>
                <w:bCs w:val="0"/>
                <w:color w:val="auto"/>
                <w:kern w:val="0"/>
                <w:sz w:val="24"/>
                <w:szCs w:val="24"/>
                <w:lang w:val="en-US" w:eastAsia="zh-CN" w:bidi="ar"/>
              </w:rPr>
              <w:t>1996 年建成，202</w:t>
            </w:r>
            <w:r>
              <w:rPr>
                <w:rFonts w:hint="eastAsia" w:ascii="宋体" w:hAnsi="宋体" w:cs="宋体"/>
                <w:b w:val="0"/>
                <w:bCs w:val="0"/>
                <w:color w:val="auto"/>
                <w:kern w:val="0"/>
                <w:sz w:val="24"/>
                <w:szCs w:val="24"/>
                <w:lang w:val="en-US" w:eastAsia="zh-CN" w:bidi="ar"/>
              </w:rPr>
              <w:t>3</w:t>
            </w:r>
            <w:r>
              <w:rPr>
                <w:rFonts w:hint="eastAsia" w:ascii="宋体" w:hAnsi="宋体" w:eastAsia="宋体" w:cs="宋体"/>
                <w:b w:val="0"/>
                <w:bCs w:val="0"/>
                <w:color w:val="auto"/>
                <w:kern w:val="0"/>
                <w:sz w:val="24"/>
                <w:szCs w:val="24"/>
                <w:lang w:val="en-US" w:eastAsia="zh-CN" w:bidi="ar"/>
              </w:rPr>
              <w:t>年</w:t>
            </w:r>
            <w:r>
              <w:rPr>
                <w:rFonts w:hint="eastAsia" w:ascii="宋体" w:hAnsi="宋体" w:cs="宋体"/>
                <w:b w:val="0"/>
                <w:bCs w:val="0"/>
                <w:color w:val="auto"/>
                <w:kern w:val="0"/>
                <w:sz w:val="24"/>
                <w:szCs w:val="24"/>
                <w:lang w:val="en-US" w:eastAsia="zh-CN" w:bidi="ar"/>
              </w:rPr>
              <w:t>6月~8月</w:t>
            </w:r>
            <w:r>
              <w:rPr>
                <w:rFonts w:hint="eastAsia" w:ascii="宋体" w:hAnsi="宋体" w:eastAsia="宋体" w:cs="宋体"/>
                <w:b w:val="0"/>
                <w:bCs w:val="0"/>
                <w:color w:val="auto"/>
                <w:kern w:val="0"/>
                <w:sz w:val="24"/>
                <w:szCs w:val="24"/>
                <w:lang w:val="en-US" w:eastAsia="zh-CN" w:bidi="ar"/>
              </w:rPr>
              <w:t>进行了装修改造</w:t>
            </w:r>
            <w:r>
              <w:rPr>
                <w:rFonts w:hint="eastAsia" w:ascii="宋体" w:hAnsi="宋体" w:eastAsia="宋体" w:cs="宋体"/>
                <w:b w:val="0"/>
                <w:bCs w:val="0"/>
                <w:color w:val="auto"/>
                <w:sz w:val="24"/>
                <w:szCs w:val="24"/>
                <w:lang w:val="en-US" w:eastAsia="zh-CN"/>
              </w:rPr>
              <w:t>。</w:t>
            </w:r>
            <w:r>
              <w:rPr>
                <w:rFonts w:hint="eastAsia" w:ascii="宋体" w:hAnsi="宋体" w:cs="宋体"/>
                <w:b w:val="0"/>
                <w:bCs w:val="0"/>
                <w:color w:val="auto"/>
                <w:sz w:val="24"/>
                <w:szCs w:val="24"/>
                <w:lang w:val="en-US" w:eastAsia="zh-CN"/>
              </w:rPr>
              <w:t>经与建设单位核实，</w:t>
            </w:r>
            <w:r>
              <w:rPr>
                <w:rFonts w:hint="eastAsia" w:ascii="宋体" w:hAnsi="宋体" w:cs="宋体"/>
                <w:color w:val="auto"/>
                <w:sz w:val="24"/>
                <w:szCs w:val="24"/>
                <w:lang w:val="en-US" w:eastAsia="zh-CN"/>
              </w:rPr>
              <w:t>施工期</w:t>
            </w:r>
            <w:r>
              <w:rPr>
                <w:rFonts w:hint="eastAsia" w:ascii="宋体" w:hAnsi="宋体" w:eastAsia="宋体" w:cs="宋体"/>
                <w:color w:val="auto"/>
                <w:sz w:val="24"/>
                <w:szCs w:val="24"/>
                <w:lang w:val="en-US" w:eastAsia="zh-CN"/>
              </w:rPr>
              <w:t>采取</w:t>
            </w:r>
            <w:r>
              <w:rPr>
                <w:rFonts w:hint="eastAsia" w:ascii="宋体" w:hAnsi="宋体" w:cs="宋体"/>
                <w:color w:val="auto"/>
                <w:sz w:val="24"/>
                <w:szCs w:val="24"/>
                <w:lang w:val="en-US" w:eastAsia="zh-CN"/>
              </w:rPr>
              <w:t>设置围挡、</w:t>
            </w:r>
            <w:r>
              <w:rPr>
                <w:rFonts w:hint="eastAsia" w:ascii="宋体" w:hAnsi="宋体" w:eastAsia="宋体" w:cs="宋体"/>
                <w:color w:val="auto"/>
                <w:sz w:val="24"/>
                <w:szCs w:val="24"/>
                <w:lang w:val="en-US" w:eastAsia="zh-CN"/>
              </w:rPr>
              <w:t>洒水降尘</w:t>
            </w:r>
            <w:r>
              <w:rPr>
                <w:rFonts w:hint="eastAsia" w:ascii="宋体" w:hAnsi="宋体" w:cs="宋体"/>
                <w:color w:val="auto"/>
                <w:sz w:val="24"/>
                <w:szCs w:val="24"/>
                <w:lang w:val="en-US" w:eastAsia="zh-CN"/>
              </w:rPr>
              <w:t>对扬尘进行治理。施工废水及施工人员生活污水进入现有化粪池及污水处理站处理后排入市政管网。</w:t>
            </w:r>
            <w:r>
              <w:rPr>
                <w:rFonts w:hint="eastAsia" w:ascii="宋体" w:hAnsi="宋体" w:eastAsia="宋体" w:cs="宋体"/>
                <w:b w:val="0"/>
                <w:bCs w:val="0"/>
                <w:color w:val="auto"/>
                <w:kern w:val="2"/>
                <w:sz w:val="24"/>
                <w:szCs w:val="24"/>
                <w:lang w:val="en-US" w:eastAsia="zh-CN" w:bidi="ar-SA"/>
              </w:rPr>
              <w:t>建筑垃圾运至城建部门指定的地点进行处置。根据向当地环保部门咨询，项目施工期间未收到的相关环保投诉</w:t>
            </w:r>
            <w:r>
              <w:rPr>
                <w:rFonts w:hint="eastAsia" w:ascii="宋体" w:hAnsi="宋体" w:cs="宋体"/>
                <w:b w:val="0"/>
                <w:bCs w:val="0"/>
                <w:color w:val="auto"/>
                <w:sz w:val="24"/>
                <w:szCs w:val="24"/>
                <w:lang w:val="en-US" w:eastAsia="zh-CN"/>
              </w:rPr>
              <w:t>针对本次环评提出的整改措施，施工期为一个月，2024年4月1日~4月30日。现提出以下环境保护措施：</w:t>
            </w:r>
          </w:p>
          <w:p>
            <w:pPr>
              <w:pStyle w:val="7"/>
              <w:numPr>
                <w:ilvl w:val="0"/>
                <w:numId w:val="7"/>
              </w:numPr>
              <w:spacing w:line="360" w:lineRule="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施工过程中通过洒水控制扬尘。</w:t>
            </w:r>
          </w:p>
          <w:p>
            <w:pPr>
              <w:pStyle w:val="7"/>
              <w:numPr>
                <w:ilvl w:val="0"/>
                <w:numId w:val="7"/>
              </w:numPr>
              <w:spacing w:line="360" w:lineRule="auto"/>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施工废水及施工人员生活污水进入现有化粪池及污水处理站处理后排入市政管网。</w:t>
            </w:r>
          </w:p>
          <w:p>
            <w:pPr>
              <w:pStyle w:val="7"/>
              <w:numPr>
                <w:ilvl w:val="0"/>
                <w:numId w:val="7"/>
              </w:numPr>
              <w:spacing w:line="360" w:lineRule="auto"/>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设备安装过程中产生的噪声控制措施为：控制施工时间，夜间不施工。</w:t>
            </w:r>
          </w:p>
          <w:p>
            <w:pPr>
              <w:pStyle w:val="7"/>
              <w:numPr>
                <w:ilvl w:val="0"/>
                <w:numId w:val="7"/>
              </w:numPr>
              <w:spacing w:line="360" w:lineRule="auto"/>
              <w:rPr>
                <w:rFonts w:hint="default" w:eastAsia="宋体"/>
                <w:color w:val="auto"/>
                <w:lang w:val="en-US" w:eastAsia="zh-CN"/>
              </w:rPr>
            </w:pPr>
            <w:r>
              <w:rPr>
                <w:rFonts w:hint="eastAsia" w:ascii="宋体" w:hAnsi="宋体" w:eastAsia="宋体" w:cs="宋体"/>
                <w:b w:val="0"/>
                <w:bCs w:val="0"/>
                <w:color w:val="auto"/>
                <w:kern w:val="2"/>
                <w:sz w:val="24"/>
                <w:szCs w:val="24"/>
                <w:lang w:val="en-US" w:eastAsia="zh-CN" w:bidi="ar-SA"/>
              </w:rPr>
              <w:t>建筑垃圾运至城建部门指定的地点进行处置。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746" w:type="dxa"/>
            <w:tcMar>
              <w:left w:w="28" w:type="dxa"/>
              <w:right w:w="28" w:type="dxa"/>
            </w:tcMar>
            <w:vAlign w:val="center"/>
          </w:tcPr>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运营</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期环</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境影</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响和</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保护</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措施</w:t>
            </w:r>
          </w:p>
        </w:tc>
        <w:tc>
          <w:tcPr>
            <w:tcW w:w="8162" w:type="dxa"/>
            <w:vAlign w:val="center"/>
          </w:tcPr>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4.2、运营期环境影响和保护措施</w:t>
            </w:r>
          </w:p>
          <w:p>
            <w:pPr>
              <w:pStyle w:val="7"/>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4.2.1废气影响分析及保护措施</w:t>
            </w:r>
          </w:p>
          <w:p>
            <w:pPr>
              <w:pStyle w:val="12"/>
              <w:spacing w:line="36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项目运营期产生的大气污染物主要有</w:t>
            </w:r>
            <w:r>
              <w:rPr>
                <w:rFonts w:hint="eastAsia" w:ascii="宋体" w:hAnsi="宋体" w:eastAsia="宋体" w:cs="宋体"/>
                <w:b w:val="0"/>
                <w:bCs w:val="0"/>
                <w:color w:val="auto"/>
                <w:sz w:val="24"/>
                <w:szCs w:val="24"/>
                <w:lang w:val="en-US" w:eastAsia="zh-CN"/>
              </w:rPr>
              <w:t>院内</w:t>
            </w:r>
            <w:r>
              <w:rPr>
                <w:rFonts w:hint="eastAsia"/>
              </w:rPr>
              <w:t>院内消毒异味、中药煎煮</w:t>
            </w:r>
            <w:r>
              <w:rPr>
                <w:rFonts w:hint="eastAsia"/>
                <w:color w:val="auto"/>
              </w:rPr>
              <w:t>、</w:t>
            </w:r>
            <w:r>
              <w:rPr>
                <w:rFonts w:hint="eastAsia"/>
                <w:color w:val="auto"/>
                <w:lang w:val="en-US" w:eastAsia="zh-CN"/>
              </w:rPr>
              <w:t>医疗废物</w:t>
            </w:r>
            <w:r>
              <w:rPr>
                <w:rFonts w:hint="eastAsia"/>
                <w:color w:val="auto"/>
              </w:rPr>
              <w:t>暂存间以及</w:t>
            </w:r>
            <w:r>
              <w:rPr>
                <w:rFonts w:hint="eastAsia"/>
              </w:rPr>
              <w:t>垃圾桶异味，污水处理设施废气，备用发电机废气和汽车尾气</w:t>
            </w:r>
            <w:r>
              <w:rPr>
                <w:rFonts w:hint="eastAsia"/>
                <w:lang w:eastAsia="zh-CN"/>
              </w:rPr>
              <w:t>。</w:t>
            </w:r>
          </w:p>
          <w:p>
            <w:pPr>
              <w:spacing w:line="360" w:lineRule="auto"/>
              <w:ind w:firstLine="480"/>
              <w:contextualSpacing/>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1、院内</w:t>
            </w:r>
            <w:r>
              <w:rPr>
                <w:rFonts w:hint="eastAsia" w:ascii="宋体" w:hAnsi="宋体" w:eastAsia="宋体" w:cs="宋体"/>
                <w:b w:val="0"/>
                <w:bCs w:val="0"/>
                <w:color w:val="auto"/>
                <w:sz w:val="24"/>
                <w:szCs w:val="24"/>
              </w:rPr>
              <w:t>消毒异味</w:t>
            </w:r>
          </w:p>
          <w:p>
            <w:pPr>
              <w:spacing w:line="360" w:lineRule="auto"/>
              <w:ind w:firstLine="480"/>
              <w:contextualSpacing/>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为降低</w:t>
            </w:r>
            <w:r>
              <w:rPr>
                <w:rFonts w:hint="eastAsia" w:ascii="宋体" w:hAnsi="宋体" w:eastAsia="宋体" w:cs="宋体"/>
                <w:b w:val="0"/>
                <w:bCs w:val="0"/>
                <w:color w:val="auto"/>
                <w:sz w:val="24"/>
                <w:szCs w:val="24"/>
                <w:lang w:val="en-US" w:eastAsia="zh-CN"/>
              </w:rPr>
              <w:t>医院门诊楼</w:t>
            </w:r>
            <w:r>
              <w:rPr>
                <w:rFonts w:hint="eastAsia" w:ascii="宋体" w:hAnsi="宋体" w:eastAsia="宋体" w:cs="宋体"/>
                <w:b w:val="0"/>
                <w:bCs w:val="0"/>
                <w:color w:val="auto"/>
                <w:sz w:val="24"/>
                <w:szCs w:val="24"/>
              </w:rPr>
              <w:t>空气中的含菌量，院内经常使用</w:t>
            </w:r>
            <w:r>
              <w:rPr>
                <w:rFonts w:hint="eastAsia" w:ascii="宋体" w:hAnsi="宋体" w:eastAsia="宋体" w:cs="宋体"/>
                <w:b w:val="0"/>
                <w:bCs w:val="0"/>
                <w:color w:val="auto"/>
                <w:sz w:val="24"/>
                <w:szCs w:val="24"/>
                <w:lang w:eastAsia="zh-CN"/>
              </w:rPr>
              <w:t>含氯消毒片</w:t>
            </w:r>
            <w:r>
              <w:rPr>
                <w:rFonts w:hint="eastAsia" w:ascii="宋体" w:hAnsi="宋体" w:eastAsia="宋体" w:cs="宋体"/>
                <w:b w:val="0"/>
                <w:bCs w:val="0"/>
                <w:color w:val="auto"/>
                <w:sz w:val="24"/>
                <w:szCs w:val="24"/>
              </w:rPr>
              <w:t>等消毒剂对楼道、卫生间等进行消毒处理，此过程中会有少量异味产生，消毒异味主要为消毒剂挥发物，产生量很小，且主要产生在室内，为无组织排放。</w:t>
            </w:r>
          </w:p>
          <w:p>
            <w:pPr>
              <w:spacing w:line="360" w:lineRule="auto"/>
              <w:ind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2、污水处理设施异味</w:t>
            </w:r>
          </w:p>
          <w:p>
            <w:pPr>
              <w:spacing w:line="360" w:lineRule="auto"/>
              <w:ind w:firstLine="480" w:firstLineChars="200"/>
              <w:contextualSpacing/>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项目内</w:t>
            </w:r>
            <w:r>
              <w:rPr>
                <w:rFonts w:hint="eastAsia" w:ascii="宋体" w:hAnsi="宋体" w:eastAsia="宋体" w:cs="宋体"/>
                <w:b w:val="0"/>
                <w:bCs w:val="0"/>
                <w:color w:val="auto"/>
                <w:sz w:val="24"/>
                <w:szCs w:val="24"/>
                <w:lang w:eastAsia="zh-CN"/>
              </w:rPr>
              <w:t>医疗</w:t>
            </w:r>
            <w:r>
              <w:rPr>
                <w:rFonts w:hint="eastAsia" w:ascii="宋体" w:hAnsi="宋体" w:eastAsia="宋体" w:cs="宋体"/>
                <w:b w:val="0"/>
                <w:bCs w:val="0"/>
                <w:color w:val="auto"/>
                <w:sz w:val="24"/>
                <w:szCs w:val="24"/>
              </w:rPr>
              <w:t>废水经</w:t>
            </w:r>
            <w:r>
              <w:rPr>
                <w:rFonts w:hint="eastAsia" w:ascii="宋体" w:hAnsi="宋体" w:eastAsia="宋体" w:cs="宋体"/>
                <w:b w:val="0"/>
                <w:bCs w:val="0"/>
                <w:color w:val="auto"/>
                <w:sz w:val="24"/>
                <w:szCs w:val="24"/>
                <w:lang w:eastAsia="zh-CN"/>
              </w:rPr>
              <w:t>医疗废水</w:t>
            </w:r>
            <w:r>
              <w:rPr>
                <w:rFonts w:hint="eastAsia" w:ascii="宋体" w:hAnsi="宋体" w:eastAsia="宋体" w:cs="宋体"/>
                <w:b w:val="0"/>
                <w:bCs w:val="0"/>
                <w:color w:val="auto"/>
                <w:sz w:val="24"/>
                <w:szCs w:val="24"/>
              </w:rPr>
              <w:t>化粪池预处理，预处理后进入项目建设的</w:t>
            </w:r>
            <w:r>
              <w:rPr>
                <w:rFonts w:hint="eastAsia" w:ascii="宋体" w:hAnsi="宋体" w:eastAsia="宋体" w:cs="宋体"/>
                <w:b w:val="0"/>
                <w:bCs w:val="0"/>
                <w:color w:val="auto"/>
                <w:sz w:val="24"/>
                <w:szCs w:val="24"/>
                <w:lang w:eastAsia="zh-CN"/>
              </w:rPr>
              <w:t>一体化</w:t>
            </w:r>
            <w:r>
              <w:rPr>
                <w:rFonts w:hint="eastAsia" w:ascii="宋体" w:hAnsi="宋体" w:eastAsia="宋体" w:cs="宋体"/>
                <w:b w:val="0"/>
                <w:bCs w:val="0"/>
                <w:color w:val="auto"/>
                <w:sz w:val="24"/>
                <w:szCs w:val="24"/>
              </w:rPr>
              <w:t>污水处理</w:t>
            </w:r>
            <w:r>
              <w:rPr>
                <w:rFonts w:hint="eastAsia" w:ascii="宋体" w:hAnsi="宋体" w:eastAsia="宋体" w:cs="宋体"/>
                <w:b w:val="0"/>
                <w:bCs w:val="0"/>
                <w:color w:val="auto"/>
                <w:sz w:val="24"/>
                <w:szCs w:val="24"/>
                <w:lang w:eastAsia="zh-CN"/>
              </w:rPr>
              <w:t>设施</w:t>
            </w:r>
            <w:r>
              <w:rPr>
                <w:rFonts w:hint="eastAsia" w:ascii="宋体" w:hAnsi="宋体" w:eastAsia="宋体" w:cs="宋体"/>
                <w:b w:val="0"/>
                <w:bCs w:val="0"/>
                <w:color w:val="auto"/>
                <w:sz w:val="24"/>
                <w:szCs w:val="24"/>
              </w:rPr>
              <w:t>处理，污水处理设施产生的异味主要来自污水中有机物的分解、发酵过程将产生异味，异味主要成分一般有：硫化物、氨等。</w:t>
            </w:r>
          </w:p>
          <w:p>
            <w:pPr>
              <w:keepNext w:val="0"/>
              <w:keepLines w:val="0"/>
              <w:pageBreakBefore w:val="0"/>
              <w:widowControl w:val="0"/>
              <w:tabs>
                <w:tab w:val="left" w:pos="402"/>
              </w:tabs>
              <w:kinsoku/>
              <w:wordWrap/>
              <w:overflowPunct/>
              <w:topLinePunct w:val="0"/>
              <w:autoSpaceDE/>
              <w:autoSpaceDN/>
              <w:bidi w:val="0"/>
              <w:adjustRightInd/>
              <w:snapToGrid/>
              <w:spacing w:line="360" w:lineRule="auto"/>
              <w:ind w:firstLine="480" w:firstLineChars="200"/>
              <w:contextualSpacing/>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根据美国EPA的研究调查，每处理1g的BOD</w:t>
            </w:r>
            <w:r>
              <w:rPr>
                <w:rFonts w:hint="eastAsia" w:ascii="宋体" w:hAnsi="宋体" w:eastAsia="宋体" w:cs="宋体"/>
                <w:b w:val="0"/>
                <w:bCs w:val="0"/>
                <w:color w:val="auto"/>
                <w:sz w:val="24"/>
                <w:szCs w:val="24"/>
                <w:vertAlign w:val="subscript"/>
                <w:lang w:val="en-US" w:eastAsia="zh-CN"/>
              </w:rPr>
              <w:t>5</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可产生0.0031gNH</w:t>
            </w:r>
            <w:r>
              <w:rPr>
                <w:rFonts w:hint="eastAsia" w:ascii="宋体" w:hAnsi="宋体" w:eastAsia="宋体" w:cs="宋体"/>
                <w:b w:val="0"/>
                <w:bCs w:val="0"/>
                <w:color w:val="auto"/>
                <w:sz w:val="24"/>
                <w:szCs w:val="24"/>
                <w:vertAlign w:val="subscript"/>
                <w:lang w:val="en-US" w:eastAsia="zh-CN"/>
              </w:rPr>
              <w:t>3</w:t>
            </w:r>
            <w:r>
              <w:rPr>
                <w:rFonts w:hint="eastAsia" w:ascii="宋体" w:hAnsi="宋体" w:eastAsia="宋体" w:cs="宋体"/>
                <w:b w:val="0"/>
                <w:bCs w:val="0"/>
                <w:color w:val="auto"/>
                <w:sz w:val="24"/>
                <w:szCs w:val="24"/>
                <w:lang w:val="en-US" w:eastAsia="zh-CN"/>
              </w:rPr>
              <w:t>和0.00012gH</w:t>
            </w:r>
            <w:r>
              <w:rPr>
                <w:rFonts w:hint="eastAsia" w:ascii="宋体" w:hAnsi="宋体" w:eastAsia="宋体" w:cs="宋体"/>
                <w:b w:val="0"/>
                <w:bCs w:val="0"/>
                <w:color w:val="auto"/>
                <w:sz w:val="24"/>
                <w:szCs w:val="24"/>
                <w:vertAlign w:val="subscript"/>
                <w:lang w:val="en-US" w:eastAsia="zh-CN"/>
              </w:rPr>
              <w:t>2</w:t>
            </w:r>
            <w:r>
              <w:rPr>
                <w:rFonts w:hint="eastAsia" w:ascii="宋体" w:hAnsi="宋体" w:eastAsia="宋体" w:cs="宋体"/>
                <w:b w:val="0"/>
                <w:bCs w:val="0"/>
                <w:color w:val="auto"/>
                <w:sz w:val="24"/>
                <w:szCs w:val="24"/>
                <w:lang w:val="en-US" w:eastAsia="zh-CN"/>
              </w:rPr>
              <w:t>S。根据项目废水源强分析，经计算BOD</w:t>
            </w:r>
            <w:r>
              <w:rPr>
                <w:rFonts w:hint="eastAsia" w:ascii="宋体" w:hAnsi="宋体" w:eastAsia="宋体" w:cs="宋体"/>
                <w:b w:val="0"/>
                <w:bCs w:val="0"/>
                <w:color w:val="auto"/>
                <w:sz w:val="24"/>
                <w:szCs w:val="24"/>
                <w:vertAlign w:val="subscript"/>
                <w:lang w:val="en-US" w:eastAsia="zh-CN"/>
              </w:rPr>
              <w:t>5</w:t>
            </w:r>
            <w:r>
              <w:rPr>
                <w:rFonts w:hint="eastAsia" w:ascii="宋体" w:hAnsi="宋体" w:eastAsia="宋体" w:cs="宋体"/>
                <w:b w:val="0"/>
                <w:bCs w:val="0"/>
                <w:color w:val="auto"/>
                <w:sz w:val="24"/>
                <w:szCs w:val="24"/>
                <w:lang w:val="en-US" w:eastAsia="zh-CN"/>
              </w:rPr>
              <w:t>削减了0.252t/a，计算可得污水处理设施恶污染物NH</w:t>
            </w:r>
            <w:r>
              <w:rPr>
                <w:rFonts w:hint="eastAsia" w:ascii="宋体" w:hAnsi="宋体" w:eastAsia="宋体" w:cs="宋体"/>
                <w:b w:val="0"/>
                <w:bCs w:val="0"/>
                <w:color w:val="auto"/>
                <w:sz w:val="24"/>
                <w:szCs w:val="24"/>
                <w:vertAlign w:val="subscript"/>
                <w:lang w:val="en-US" w:eastAsia="zh-CN"/>
              </w:rPr>
              <w:t>3</w:t>
            </w:r>
            <w:r>
              <w:rPr>
                <w:rFonts w:hint="eastAsia" w:ascii="宋体" w:hAnsi="宋体" w:eastAsia="宋体" w:cs="宋体"/>
                <w:b w:val="0"/>
                <w:bCs w:val="0"/>
                <w:color w:val="auto"/>
                <w:sz w:val="24"/>
                <w:szCs w:val="24"/>
                <w:lang w:val="en-US" w:eastAsia="zh-CN"/>
              </w:rPr>
              <w:t>、H</w:t>
            </w:r>
            <w:r>
              <w:rPr>
                <w:rFonts w:hint="eastAsia" w:ascii="宋体" w:hAnsi="宋体" w:eastAsia="宋体" w:cs="宋体"/>
                <w:b w:val="0"/>
                <w:bCs w:val="0"/>
                <w:color w:val="auto"/>
                <w:sz w:val="24"/>
                <w:szCs w:val="24"/>
                <w:vertAlign w:val="subscript"/>
                <w:lang w:val="en-US" w:eastAsia="zh-CN"/>
              </w:rPr>
              <w:t>2</w:t>
            </w:r>
            <w:r>
              <w:rPr>
                <w:rFonts w:hint="eastAsia" w:ascii="宋体" w:hAnsi="宋体" w:eastAsia="宋体" w:cs="宋体"/>
                <w:b w:val="0"/>
                <w:bCs w:val="0"/>
                <w:color w:val="auto"/>
                <w:sz w:val="24"/>
                <w:szCs w:val="24"/>
                <w:lang w:val="en-US" w:eastAsia="zh-CN"/>
              </w:rPr>
              <w:t>S产生量分别为0.781kg/a，0.03kg/a。本项目一体化污水处理设施为地下式，池体封闭，并定期投加除臭剂,除臭效率达40%，则排放量分别为：NH</w:t>
            </w:r>
            <w:r>
              <w:rPr>
                <w:rFonts w:hint="eastAsia" w:ascii="宋体" w:hAnsi="宋体" w:eastAsia="宋体" w:cs="宋体"/>
                <w:b w:val="0"/>
                <w:bCs w:val="0"/>
                <w:color w:val="auto"/>
                <w:sz w:val="24"/>
                <w:szCs w:val="24"/>
                <w:vertAlign w:val="subscript"/>
                <w:lang w:val="en-US" w:eastAsia="zh-CN"/>
              </w:rPr>
              <w:t>3</w:t>
            </w:r>
            <w:r>
              <w:rPr>
                <w:rFonts w:hint="eastAsia" w:ascii="宋体" w:hAnsi="宋体" w:eastAsia="宋体" w:cs="宋体"/>
                <w:b w:val="0"/>
                <w:bCs w:val="0"/>
                <w:color w:val="auto"/>
                <w:sz w:val="24"/>
                <w:szCs w:val="24"/>
                <w:vertAlign w:val="baseline"/>
                <w:lang w:val="en-US" w:eastAsia="zh-CN"/>
              </w:rPr>
              <w:t>:</w:t>
            </w:r>
            <w:r>
              <w:rPr>
                <w:rFonts w:hint="eastAsia" w:ascii="宋体" w:hAnsi="宋体" w:eastAsia="宋体" w:cs="宋体"/>
                <w:b w:val="0"/>
                <w:bCs w:val="0"/>
                <w:color w:val="auto"/>
                <w:sz w:val="24"/>
                <w:szCs w:val="24"/>
                <w:lang w:val="en-US" w:eastAsia="zh-CN"/>
              </w:rPr>
              <w:t>0.467kg/a，H</w:t>
            </w:r>
            <w:r>
              <w:rPr>
                <w:rFonts w:hint="eastAsia" w:ascii="宋体" w:hAnsi="宋体" w:eastAsia="宋体" w:cs="宋体"/>
                <w:b w:val="0"/>
                <w:bCs w:val="0"/>
                <w:color w:val="auto"/>
                <w:sz w:val="24"/>
                <w:szCs w:val="24"/>
                <w:vertAlign w:val="subscript"/>
                <w:lang w:val="en-US" w:eastAsia="zh-CN"/>
              </w:rPr>
              <w:t>2</w:t>
            </w:r>
            <w:r>
              <w:rPr>
                <w:rFonts w:hint="eastAsia" w:ascii="宋体" w:hAnsi="宋体" w:eastAsia="宋体" w:cs="宋体"/>
                <w:b w:val="0"/>
                <w:bCs w:val="0"/>
                <w:color w:val="auto"/>
                <w:sz w:val="24"/>
                <w:szCs w:val="24"/>
                <w:lang w:val="en-US" w:eastAsia="zh-CN"/>
              </w:rPr>
              <w:t>S:0.018kg/a。</w:t>
            </w:r>
            <w:r>
              <w:rPr>
                <w:rFonts w:hint="eastAsia" w:ascii="宋体" w:hAnsi="宋体" w:cs="宋体"/>
                <w:b w:val="0"/>
                <w:bCs w:val="0"/>
                <w:color w:val="auto"/>
                <w:sz w:val="24"/>
                <w:szCs w:val="24"/>
                <w:lang w:val="en-US" w:eastAsia="zh-CN"/>
              </w:rPr>
              <w:t>通过类比澜沧拉祜族自治县第一人民医院2023年第三季度自行检测报告（见附件13），厂界臭气浓度（单位：无量纲）</w:t>
            </w:r>
            <w:r>
              <w:rPr>
                <w:rFonts w:hint="eastAsia" w:ascii="宋体" w:hAnsi="宋体" w:cs="宋体"/>
                <w:color w:val="auto"/>
                <w:sz w:val="24"/>
                <w:szCs w:val="24"/>
                <w:lang w:val="en-US" w:eastAsia="zh-CN"/>
              </w:rPr>
              <w:t>＜10，氨0.01mg/m³，硫化氢0.001mg/m³。</w:t>
            </w:r>
            <w:r>
              <w:rPr>
                <w:rFonts w:hint="eastAsia" w:ascii="宋体" w:hAnsi="宋体" w:cs="宋体"/>
                <w:b w:val="0"/>
                <w:bCs w:val="0"/>
                <w:color w:val="auto"/>
                <w:sz w:val="24"/>
                <w:szCs w:val="24"/>
                <w:lang w:val="en-US" w:eastAsia="zh-CN"/>
              </w:rPr>
              <w:t>该项目与本项目建设性质、污水处理站处理工艺相似，具有可类比性。综上，本项目污水处理站臭气浓度、氨、硫化氢能达到</w:t>
            </w:r>
            <w:r>
              <w:rPr>
                <w:rFonts w:hint="eastAsia" w:ascii="宋体" w:hAnsi="宋体" w:eastAsia="宋体" w:cs="宋体"/>
                <w:color w:val="auto"/>
                <w:sz w:val="24"/>
                <w:szCs w:val="24"/>
              </w:rPr>
              <w:t>《医疗机构水污染物排放标准》（GB18466-2005）中表3标准值</w:t>
            </w:r>
            <w:r>
              <w:rPr>
                <w:rFonts w:hint="eastAsia" w:ascii="宋体" w:hAnsi="宋体" w:cs="宋体"/>
                <w:color w:val="auto"/>
                <w:sz w:val="24"/>
                <w:szCs w:val="24"/>
                <w:lang w:val="en-US" w:eastAsia="zh-CN"/>
              </w:rPr>
              <w:t>即氨≤1.0mg/m³，硫化氢≤0.03mg/m³，臭气浓度</w:t>
            </w:r>
            <w:r>
              <w:rPr>
                <w:rFonts w:hint="eastAsia" w:ascii="宋体" w:hAnsi="宋体" w:cs="宋体"/>
                <w:b w:val="0"/>
                <w:bCs w:val="0"/>
                <w:color w:val="auto"/>
                <w:sz w:val="24"/>
                <w:szCs w:val="24"/>
                <w:lang w:val="en-US" w:eastAsia="zh-CN"/>
              </w:rPr>
              <w:t>（单位：无量纲）</w:t>
            </w:r>
            <w:r>
              <w:rPr>
                <w:rFonts w:hint="eastAsia" w:ascii="宋体" w:hAnsi="宋体" w:cs="宋体"/>
                <w:color w:val="auto"/>
                <w:sz w:val="24"/>
                <w:szCs w:val="24"/>
                <w:lang w:val="en-US" w:eastAsia="zh-CN"/>
              </w:rPr>
              <w:t>≤10。</w:t>
            </w:r>
          </w:p>
          <w:p>
            <w:pPr>
              <w:autoSpaceDE w:val="0"/>
              <w:autoSpaceDN w:val="0"/>
              <w:spacing w:line="36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3、化粪池、医疗废物暂存间、垃圾桶、卫生间恶臭</w:t>
            </w:r>
          </w:p>
          <w:p>
            <w:pPr>
              <w:autoSpaceDE w:val="0"/>
              <w:autoSpaceDN w:val="0"/>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本项目建设有2个化粪池，均设置为地埋式，密闭性较好，挥发到空气中的恶臭较少。医疗废物在暂存时会有少量的恶臭气体产生，项目医疗废物暂存间为单独密闭房间，医疗废物通过专用容器及防漏胶袋密封，废气溢出极少，呈无组织排放，医疗废物由西双版纳州金盛医疗废物处置有限公司清运处置，</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lang w:val="en-US" w:eastAsia="zh-CN"/>
              </w:rPr>
              <w:t xml:space="preserve">天清运一次。项目聘请有专业的保洁人员，垃圾桶内的垃圾能做到日产日清，通过及时清运可减轻对环境的不利影响。卫生间定期清扫，保持卫生间的清洁卫生，恶臭对周围环境的影响很小。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4、备用发电机废气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项目内设一台200kw柴油发电机作为备用电源，柴油发电机仅在市政电网停电时启用，使用频次较低，单次使用时间短，一年最多运行3次，每次20min，采用轻质柴油为燃料。柴油发电机组正常运行将产生燃油废气，外排废气中主要污染物为SO</w:t>
            </w:r>
            <w:r>
              <w:rPr>
                <w:rFonts w:hint="eastAsia" w:ascii="宋体" w:hAnsi="宋体" w:eastAsia="宋体" w:cs="宋体"/>
                <w:b w:val="0"/>
                <w:bCs w:val="0"/>
                <w:color w:val="auto"/>
                <w:sz w:val="24"/>
                <w:szCs w:val="24"/>
                <w:vertAlign w:val="subscript"/>
                <w:lang w:val="en-US" w:eastAsia="zh-CN"/>
              </w:rPr>
              <w:t>2</w:t>
            </w:r>
            <w:r>
              <w:rPr>
                <w:rFonts w:hint="eastAsia" w:ascii="宋体" w:hAnsi="宋体" w:eastAsia="宋体" w:cs="宋体"/>
                <w:b w:val="0"/>
                <w:bCs w:val="0"/>
                <w:color w:val="auto"/>
                <w:sz w:val="24"/>
                <w:szCs w:val="24"/>
                <w:lang w:val="en-US" w:eastAsia="zh-CN"/>
              </w:rPr>
              <w:t>、CO、NOx及烟尘等。根据环评工程师注册培训教材《社会区域》给出的计算参数：单位耗油量212.5g/kWh计，发电机运行污染物排放系数为：SO</w:t>
            </w:r>
            <w:r>
              <w:rPr>
                <w:rFonts w:hint="eastAsia" w:ascii="宋体" w:hAnsi="宋体" w:eastAsia="宋体" w:cs="宋体"/>
                <w:b w:val="0"/>
                <w:bCs w:val="0"/>
                <w:color w:val="auto"/>
                <w:sz w:val="24"/>
                <w:szCs w:val="24"/>
                <w:vertAlign w:val="subscript"/>
                <w:lang w:val="en-US" w:eastAsia="zh-CN"/>
              </w:rPr>
              <w:t>2</w:t>
            </w:r>
            <w:r>
              <w:rPr>
                <w:rFonts w:hint="eastAsia" w:ascii="宋体" w:hAnsi="宋体" w:eastAsia="宋体" w:cs="宋体"/>
                <w:b w:val="0"/>
                <w:bCs w:val="0"/>
                <w:color w:val="auto"/>
                <w:sz w:val="24"/>
                <w:szCs w:val="24"/>
                <w:lang w:val="en-US" w:eastAsia="zh-CN"/>
              </w:rPr>
              <w:t>： 4g/L，烟尘：0.714g/L，NOx：2.56g/L，CO：1.52g/L，烟气量可按12m</w:t>
            </w:r>
            <w:r>
              <w:rPr>
                <w:rFonts w:hint="eastAsia" w:ascii="宋体" w:hAnsi="宋体" w:eastAsia="宋体" w:cs="宋体"/>
                <w:b w:val="0"/>
                <w:bCs w:val="0"/>
                <w:color w:val="auto"/>
                <w:sz w:val="24"/>
                <w:szCs w:val="24"/>
                <w:vertAlign w:val="superscript"/>
                <w:lang w:val="en-US" w:eastAsia="zh-CN"/>
              </w:rPr>
              <w:t>3</w:t>
            </w:r>
            <w:r>
              <w:rPr>
                <w:rFonts w:hint="eastAsia" w:ascii="宋体" w:hAnsi="宋体" w:eastAsia="宋体" w:cs="宋体"/>
                <w:b w:val="0"/>
                <w:bCs w:val="0"/>
                <w:color w:val="auto"/>
                <w:sz w:val="24"/>
                <w:szCs w:val="24"/>
                <w:lang w:val="en-US" w:eastAsia="zh-CN"/>
              </w:rPr>
              <w:t>/kg计，由此推算发电机年耗油量为0.043t/a(相当于51.5L/a)，烟气量约516m</w:t>
            </w:r>
            <w:r>
              <w:rPr>
                <w:rFonts w:hint="eastAsia" w:ascii="宋体" w:hAnsi="宋体" w:eastAsia="宋体" w:cs="宋体"/>
                <w:b w:val="0"/>
                <w:bCs w:val="0"/>
                <w:color w:val="auto"/>
                <w:sz w:val="24"/>
                <w:szCs w:val="24"/>
                <w:vertAlign w:val="superscript"/>
                <w:lang w:val="en-US" w:eastAsia="zh-CN"/>
              </w:rPr>
              <w:t>3</w:t>
            </w:r>
            <w:r>
              <w:rPr>
                <w:rFonts w:hint="eastAsia" w:ascii="宋体" w:hAnsi="宋体" w:eastAsia="宋体" w:cs="宋体"/>
                <w:b w:val="0"/>
                <w:bCs w:val="0"/>
                <w:color w:val="auto"/>
                <w:sz w:val="24"/>
                <w:szCs w:val="24"/>
                <w:lang w:val="en-US" w:eastAsia="zh-CN"/>
              </w:rPr>
              <w:t>/a，SO</w:t>
            </w:r>
            <w:r>
              <w:rPr>
                <w:rFonts w:hint="eastAsia" w:ascii="宋体" w:hAnsi="宋体" w:eastAsia="宋体" w:cs="宋体"/>
                <w:b w:val="0"/>
                <w:bCs w:val="0"/>
                <w:color w:val="auto"/>
                <w:sz w:val="24"/>
                <w:szCs w:val="24"/>
                <w:vertAlign w:val="subscript"/>
                <w:lang w:val="en-US" w:eastAsia="zh-CN"/>
              </w:rPr>
              <w:t>2</w:t>
            </w:r>
            <w:r>
              <w:rPr>
                <w:rFonts w:hint="eastAsia" w:ascii="宋体" w:hAnsi="宋体" w:eastAsia="宋体" w:cs="宋体"/>
                <w:b w:val="0"/>
                <w:bCs w:val="0"/>
                <w:color w:val="auto"/>
                <w:sz w:val="24"/>
                <w:szCs w:val="24"/>
                <w:lang w:val="en-US" w:eastAsia="zh-CN"/>
              </w:rPr>
              <w:t>的产生量为0.21kg/a，烟尘的产生量为0.04kg/a，NOx的产生量为0.13kg/a，CO 的产生量为0.083kg/a。备用发电机废气产生量较小，经管道引至发电机房设置的排放口排放。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5、汽车尾气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项目卫生院内设10个露天停车位，废气在汽车的启动和停放过程中产生，废气中主要污染物为CO、THC、NOx等。排放量较小，且都为间歇性无组织排放，经过空气稀释及绿化吸收后对环境影响较小。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大气环境影响分析</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本项目恶</w:t>
            </w:r>
            <w:r>
              <w:rPr>
                <w:rFonts w:hint="eastAsia" w:ascii="宋体" w:hAnsi="宋体" w:eastAsia="宋体" w:cs="宋体"/>
                <w:b w:val="0"/>
                <w:bCs w:val="0"/>
                <w:color w:val="auto"/>
                <w:sz w:val="24"/>
                <w:szCs w:val="24"/>
                <w:lang w:eastAsia="zh-CN"/>
              </w:rPr>
              <w:t>臭</w:t>
            </w:r>
            <w:r>
              <w:rPr>
                <w:rFonts w:hint="eastAsia" w:ascii="宋体" w:hAnsi="宋体" w:eastAsia="宋体" w:cs="宋体"/>
                <w:b w:val="0"/>
                <w:bCs w:val="0"/>
                <w:color w:val="auto"/>
                <w:sz w:val="24"/>
                <w:szCs w:val="24"/>
              </w:rPr>
              <w:t>污染物主要</w:t>
            </w:r>
            <w:r>
              <w:rPr>
                <w:rFonts w:hint="eastAsia" w:ascii="宋体" w:hAnsi="宋体" w:eastAsia="宋体" w:cs="宋体"/>
                <w:b w:val="0"/>
                <w:bCs w:val="0"/>
                <w:color w:val="auto"/>
                <w:sz w:val="24"/>
                <w:szCs w:val="24"/>
                <w:lang w:eastAsia="zh-CN"/>
              </w:rPr>
              <w:t>来自</w:t>
            </w:r>
            <w:r>
              <w:rPr>
                <w:rFonts w:hint="eastAsia" w:ascii="宋体" w:hAnsi="宋体" w:eastAsia="宋体" w:cs="宋体"/>
                <w:b w:val="0"/>
                <w:bCs w:val="0"/>
                <w:color w:val="auto"/>
                <w:sz w:val="24"/>
                <w:szCs w:val="24"/>
              </w:rPr>
              <w:t>污水处理</w:t>
            </w:r>
            <w:r>
              <w:rPr>
                <w:rFonts w:hint="eastAsia" w:ascii="宋体" w:hAnsi="宋体" w:eastAsia="宋体" w:cs="宋体"/>
                <w:b w:val="0"/>
                <w:bCs w:val="0"/>
                <w:color w:val="auto"/>
                <w:sz w:val="24"/>
                <w:szCs w:val="24"/>
                <w:lang w:eastAsia="zh-CN"/>
              </w:rPr>
              <w:t>设施</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医疗废物</w:t>
            </w:r>
            <w:r>
              <w:rPr>
                <w:rFonts w:hint="eastAsia" w:ascii="宋体" w:hAnsi="宋体" w:eastAsia="宋体" w:cs="宋体"/>
                <w:b w:val="0"/>
                <w:bCs w:val="0"/>
                <w:color w:val="auto"/>
                <w:sz w:val="24"/>
                <w:szCs w:val="24"/>
                <w:lang w:eastAsia="zh-CN"/>
              </w:rPr>
              <w:t>暂存间</w:t>
            </w:r>
            <w:r>
              <w:rPr>
                <w:rFonts w:hint="eastAsia" w:ascii="宋体" w:hAnsi="宋体" w:eastAsia="宋体" w:cs="宋体"/>
                <w:b w:val="0"/>
                <w:bCs w:val="0"/>
                <w:color w:val="auto"/>
                <w:sz w:val="24"/>
                <w:szCs w:val="24"/>
              </w:rPr>
              <w:t>以及垃圾</w:t>
            </w:r>
            <w:r>
              <w:rPr>
                <w:rFonts w:hint="eastAsia" w:ascii="宋体" w:hAnsi="宋体" w:eastAsia="宋体" w:cs="宋体"/>
                <w:b w:val="0"/>
                <w:bCs w:val="0"/>
                <w:color w:val="auto"/>
                <w:sz w:val="24"/>
                <w:szCs w:val="24"/>
                <w:lang w:eastAsia="zh-CN"/>
              </w:rPr>
              <w:t>桶</w:t>
            </w:r>
            <w:r>
              <w:rPr>
                <w:rFonts w:hint="eastAsia" w:ascii="宋体" w:hAnsi="宋体" w:eastAsia="宋体" w:cs="宋体"/>
                <w:b w:val="0"/>
                <w:bCs w:val="0"/>
                <w:color w:val="auto"/>
                <w:sz w:val="24"/>
                <w:szCs w:val="24"/>
              </w:rPr>
              <w:t>。恶</w:t>
            </w:r>
            <w:r>
              <w:rPr>
                <w:rFonts w:hint="eastAsia" w:ascii="宋体" w:hAnsi="宋体" w:eastAsia="宋体" w:cs="宋体"/>
                <w:b w:val="0"/>
                <w:bCs w:val="0"/>
                <w:color w:val="auto"/>
                <w:sz w:val="24"/>
                <w:szCs w:val="24"/>
                <w:lang w:eastAsia="zh-CN"/>
              </w:rPr>
              <w:t>臭</w:t>
            </w:r>
            <w:r>
              <w:rPr>
                <w:rFonts w:hint="eastAsia" w:ascii="宋体" w:hAnsi="宋体" w:eastAsia="宋体" w:cs="宋体"/>
                <w:b w:val="0"/>
                <w:bCs w:val="0"/>
                <w:color w:val="auto"/>
                <w:sz w:val="24"/>
                <w:szCs w:val="24"/>
              </w:rPr>
              <w:t>气体是多组分、低浓度化学物质形成的混合物，其主要成分为氨、硫化氢等，排放方式为无组织排放的面源污染。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本项目污水处理</w:t>
            </w:r>
            <w:r>
              <w:rPr>
                <w:rFonts w:hint="eastAsia" w:ascii="宋体" w:hAnsi="宋体" w:eastAsia="宋体" w:cs="宋体"/>
                <w:b w:val="0"/>
                <w:bCs w:val="0"/>
                <w:color w:val="auto"/>
                <w:sz w:val="24"/>
                <w:szCs w:val="24"/>
                <w:lang w:eastAsia="zh-CN"/>
              </w:rPr>
              <w:t>设施</w:t>
            </w:r>
            <w:r>
              <w:rPr>
                <w:rFonts w:hint="eastAsia" w:ascii="宋体" w:hAnsi="宋体" w:eastAsia="宋体" w:cs="宋体"/>
                <w:b w:val="0"/>
                <w:bCs w:val="0"/>
                <w:color w:val="auto"/>
                <w:sz w:val="24"/>
                <w:szCs w:val="24"/>
              </w:rPr>
              <w:t>在项目</w:t>
            </w:r>
            <w:r>
              <w:rPr>
                <w:rFonts w:hint="eastAsia" w:ascii="宋体" w:hAnsi="宋体" w:eastAsia="宋体" w:cs="宋体"/>
                <w:b w:val="0"/>
                <w:bCs w:val="0"/>
                <w:color w:val="auto"/>
                <w:sz w:val="24"/>
                <w:szCs w:val="24"/>
                <w:lang w:val="en-US" w:eastAsia="zh-CN"/>
              </w:rPr>
              <w:t>西南</w:t>
            </w:r>
            <w:r>
              <w:rPr>
                <w:rFonts w:hint="eastAsia" w:ascii="宋体" w:hAnsi="宋体" w:eastAsia="宋体" w:cs="宋体"/>
                <w:b w:val="0"/>
                <w:bCs w:val="0"/>
                <w:color w:val="auto"/>
                <w:sz w:val="24"/>
                <w:szCs w:val="24"/>
              </w:rPr>
              <w:t>侧。项目污水处理过程中产生的污泥委托</w:t>
            </w:r>
            <w:r>
              <w:rPr>
                <w:rFonts w:hint="eastAsia" w:ascii="宋体" w:hAnsi="宋体" w:eastAsia="宋体" w:cs="宋体"/>
                <w:b w:val="0"/>
                <w:bCs w:val="0"/>
                <w:color w:val="auto"/>
                <w:sz w:val="24"/>
                <w:szCs w:val="24"/>
                <w:lang w:val="en-US" w:eastAsia="zh-CN"/>
              </w:rPr>
              <w:t>资质单位</w:t>
            </w:r>
            <w:r>
              <w:rPr>
                <w:rFonts w:hint="eastAsia" w:ascii="宋体" w:hAnsi="宋体" w:eastAsia="宋体" w:cs="宋体"/>
                <w:b w:val="0"/>
                <w:bCs w:val="0"/>
                <w:color w:val="auto"/>
                <w:sz w:val="24"/>
                <w:szCs w:val="24"/>
                <w:lang w:eastAsia="zh-CN"/>
              </w:rPr>
              <w:t>处置</w:t>
            </w:r>
            <w:r>
              <w:rPr>
                <w:rFonts w:hint="eastAsia" w:ascii="宋体" w:hAnsi="宋体" w:eastAsia="宋体" w:cs="宋体"/>
                <w:b w:val="0"/>
                <w:bCs w:val="0"/>
                <w:color w:val="auto"/>
                <w:sz w:val="24"/>
                <w:szCs w:val="24"/>
              </w:rPr>
              <w:t>，清运过程中对运输车辆采取加盖等措施以减小污泥散发的</w:t>
            </w:r>
            <w:r>
              <w:rPr>
                <w:rFonts w:hint="eastAsia" w:ascii="宋体" w:hAnsi="宋体" w:eastAsia="宋体" w:cs="宋体"/>
                <w:b w:val="0"/>
                <w:bCs w:val="0"/>
                <w:color w:val="auto"/>
                <w:sz w:val="24"/>
                <w:szCs w:val="24"/>
                <w:lang w:val="en-US" w:eastAsia="zh-CN"/>
              </w:rPr>
              <w:t>臭气</w:t>
            </w:r>
            <w:r>
              <w:rPr>
                <w:rFonts w:hint="eastAsia" w:ascii="宋体" w:hAnsi="宋体" w:eastAsia="宋体" w:cs="宋体"/>
                <w:b w:val="0"/>
                <w:bCs w:val="0"/>
                <w:color w:val="auto"/>
                <w:sz w:val="24"/>
                <w:szCs w:val="24"/>
              </w:rPr>
              <w:t>的影响。</w:t>
            </w:r>
            <w:r>
              <w:rPr>
                <w:rFonts w:hint="eastAsia" w:ascii="宋体" w:hAnsi="宋体" w:eastAsia="宋体" w:cs="宋体"/>
                <w:b w:val="0"/>
                <w:bCs w:val="0"/>
                <w:color w:val="auto"/>
                <w:sz w:val="24"/>
                <w:szCs w:val="24"/>
                <w:lang w:eastAsia="zh-CN"/>
              </w:rPr>
              <w:t>污水处理设施的旁边</w:t>
            </w:r>
            <w:r>
              <w:rPr>
                <w:rFonts w:hint="eastAsia" w:ascii="宋体" w:hAnsi="宋体" w:eastAsia="宋体" w:cs="宋体"/>
                <w:b w:val="0"/>
                <w:bCs w:val="0"/>
                <w:color w:val="auto"/>
                <w:sz w:val="24"/>
                <w:szCs w:val="24"/>
              </w:rPr>
              <w:t>设置有1个</w:t>
            </w:r>
            <w:r>
              <w:rPr>
                <w:rFonts w:hint="eastAsia" w:ascii="宋体" w:hAnsi="宋体" w:cs="宋体"/>
                <w:b w:val="0"/>
                <w:bCs w:val="0"/>
                <w:color w:val="auto"/>
                <w:sz w:val="24"/>
                <w:szCs w:val="24"/>
                <w:lang w:eastAsia="zh-CN"/>
              </w:rPr>
              <w:t>医疗废物暂存间</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20m</w:t>
            </w:r>
            <w:r>
              <w:rPr>
                <w:rFonts w:hint="eastAsia" w:ascii="宋体" w:hAnsi="宋体" w:eastAsia="宋体" w:cs="宋体"/>
                <w:b w:val="0"/>
                <w:bCs w:val="0"/>
                <w:color w:val="auto"/>
                <w:sz w:val="24"/>
                <w:szCs w:val="24"/>
                <w:vertAlign w:val="superscript"/>
                <w:lang w:val="en-US" w:eastAsia="zh-CN"/>
              </w:rPr>
              <w:t>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收集整个医院的医疗废物。医疗固废中有一些具有刺激性气味的化学物质，如输液管的橡胶味等，以及医疗废物上残留的药品、血液、体液及排泄物，在存储过程中会有少量的硫化氢、氨气等异味气体产生，项目医疗固废定</w:t>
            </w:r>
            <w:r>
              <w:rPr>
                <w:rFonts w:hint="eastAsia" w:ascii="宋体" w:hAnsi="宋体" w:eastAsia="宋体" w:cs="宋体"/>
                <w:b w:val="0"/>
                <w:bCs w:val="0"/>
                <w:color w:val="auto"/>
                <w:sz w:val="24"/>
                <w:szCs w:val="24"/>
                <w:lang w:eastAsia="zh-CN"/>
              </w:rPr>
              <w:t>期</w:t>
            </w:r>
            <w:r>
              <w:rPr>
                <w:rFonts w:hint="eastAsia" w:ascii="宋体" w:hAnsi="宋体" w:eastAsia="宋体" w:cs="宋体"/>
                <w:b w:val="0"/>
                <w:bCs w:val="0"/>
                <w:color w:val="auto"/>
                <w:sz w:val="24"/>
                <w:szCs w:val="24"/>
              </w:rPr>
              <w:t>委托</w:t>
            </w:r>
            <w:r>
              <w:rPr>
                <w:rFonts w:hint="eastAsia" w:ascii="宋体" w:hAnsi="宋体" w:eastAsia="宋体" w:cs="宋体"/>
                <w:b w:val="0"/>
                <w:bCs w:val="0"/>
                <w:color w:val="auto"/>
                <w:sz w:val="24"/>
                <w:szCs w:val="24"/>
                <w:lang w:val="en-US" w:eastAsia="zh-CN"/>
              </w:rPr>
              <w:t>西双版纳州金盛医疗废物处置有限公司</w:t>
            </w:r>
            <w:r>
              <w:rPr>
                <w:rFonts w:hint="eastAsia" w:ascii="宋体" w:hAnsi="宋体" w:eastAsia="宋体" w:cs="宋体"/>
                <w:b w:val="0"/>
                <w:bCs w:val="0"/>
                <w:color w:val="auto"/>
                <w:sz w:val="24"/>
                <w:szCs w:val="24"/>
              </w:rPr>
              <w:t>进行处理，</w:t>
            </w:r>
            <w:r>
              <w:rPr>
                <w:rFonts w:hint="eastAsia" w:ascii="宋体" w:hAnsi="宋体" w:cs="宋体"/>
                <w:b w:val="0"/>
                <w:bCs w:val="0"/>
                <w:color w:val="auto"/>
                <w:sz w:val="24"/>
                <w:szCs w:val="24"/>
                <w:lang w:val="en-US" w:eastAsia="zh-CN"/>
              </w:rPr>
              <w:t>1天</w:t>
            </w:r>
            <w:r>
              <w:rPr>
                <w:rFonts w:hint="eastAsia" w:ascii="宋体" w:hAnsi="宋体" w:eastAsia="宋体" w:cs="宋体"/>
                <w:b w:val="0"/>
                <w:bCs w:val="0"/>
                <w:color w:val="auto"/>
                <w:sz w:val="24"/>
                <w:szCs w:val="24"/>
                <w:lang w:val="en-US" w:eastAsia="zh-CN"/>
              </w:rPr>
              <w:t>清运一次，</w:t>
            </w:r>
            <w:r>
              <w:rPr>
                <w:rFonts w:hint="eastAsia" w:ascii="宋体" w:hAnsi="宋体" w:eastAsia="宋体" w:cs="宋体"/>
                <w:b w:val="0"/>
                <w:bCs w:val="0"/>
                <w:color w:val="auto"/>
                <w:sz w:val="24"/>
                <w:szCs w:val="24"/>
              </w:rPr>
              <w:t>在项目内只是临时存储，贮存时间短，同时定期进行清扫消毒，产生的异味少，对周围环境影响小</w:t>
            </w:r>
            <w:r>
              <w:rPr>
                <w:rFonts w:hint="eastAsia" w:ascii="宋体" w:hAnsi="宋体" w:eastAsia="宋体" w:cs="宋体"/>
                <w:b w:val="0"/>
                <w:bCs w:val="0"/>
                <w:color w:val="auto"/>
                <w:sz w:val="24"/>
                <w:szCs w:val="24"/>
                <w:lang w:eastAsia="zh-CN"/>
              </w:rPr>
              <w:t>。</w:t>
            </w:r>
          </w:p>
          <w:p>
            <w:pPr>
              <w:spacing w:line="360" w:lineRule="auto"/>
              <w:ind w:firstLine="480" w:firstLineChars="200"/>
              <w:contextualSpacing/>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通过采取以上措施，污水处理</w:t>
            </w:r>
            <w:r>
              <w:rPr>
                <w:rFonts w:hint="eastAsia" w:ascii="宋体" w:hAnsi="宋体" w:eastAsia="宋体" w:cs="宋体"/>
                <w:b w:val="0"/>
                <w:bCs w:val="0"/>
                <w:color w:val="auto"/>
                <w:sz w:val="24"/>
                <w:szCs w:val="24"/>
                <w:lang w:eastAsia="zh-CN"/>
              </w:rPr>
              <w:t>设施</w:t>
            </w:r>
            <w:r>
              <w:rPr>
                <w:rFonts w:hint="eastAsia" w:ascii="宋体" w:hAnsi="宋体" w:eastAsia="宋体" w:cs="宋体"/>
                <w:b w:val="0"/>
                <w:bCs w:val="0"/>
                <w:color w:val="auto"/>
                <w:sz w:val="24"/>
                <w:szCs w:val="24"/>
              </w:rPr>
              <w:t>处产生的恶</w:t>
            </w:r>
            <w:r>
              <w:rPr>
                <w:rFonts w:hint="eastAsia" w:ascii="宋体" w:hAnsi="宋体" w:eastAsia="宋体" w:cs="宋体"/>
                <w:b w:val="0"/>
                <w:bCs w:val="0"/>
                <w:color w:val="auto"/>
                <w:sz w:val="24"/>
                <w:szCs w:val="24"/>
                <w:lang w:val="en-US" w:eastAsia="zh-CN"/>
              </w:rPr>
              <w:t>臭</w:t>
            </w:r>
            <w:r>
              <w:rPr>
                <w:rFonts w:hint="eastAsia" w:ascii="宋体" w:hAnsi="宋体" w:eastAsia="宋体" w:cs="宋体"/>
                <w:b w:val="0"/>
                <w:bCs w:val="0"/>
                <w:color w:val="auto"/>
                <w:sz w:val="24"/>
                <w:szCs w:val="24"/>
              </w:rPr>
              <w:t>可以得到有效控制，对周围环境影响小。</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综上，项目产生</w:t>
            </w:r>
            <w:r>
              <w:rPr>
                <w:rFonts w:hint="eastAsia" w:ascii="宋体" w:hAnsi="宋体" w:eastAsia="宋体" w:cs="宋体"/>
                <w:b w:val="0"/>
                <w:bCs w:val="0"/>
                <w:color w:val="auto"/>
                <w:sz w:val="24"/>
                <w:szCs w:val="24"/>
                <w:lang w:val="en-US" w:eastAsia="zh-CN"/>
              </w:rPr>
              <w:t>的废气</w:t>
            </w:r>
            <w:r>
              <w:rPr>
                <w:rFonts w:hint="eastAsia" w:ascii="宋体" w:hAnsi="宋体" w:eastAsia="宋体" w:cs="宋体"/>
                <w:b w:val="0"/>
                <w:bCs w:val="0"/>
                <w:color w:val="auto"/>
                <w:sz w:val="24"/>
                <w:szCs w:val="24"/>
              </w:rPr>
              <w:t>对周围环境影响较小。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rPr>
              <w:t>废气处理可行性分析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本项目</w:t>
            </w:r>
            <w:r>
              <w:rPr>
                <w:rFonts w:hint="eastAsia" w:ascii="宋体" w:hAnsi="宋体" w:eastAsia="宋体" w:cs="宋体"/>
                <w:b w:val="0"/>
                <w:bCs w:val="0"/>
                <w:color w:val="auto"/>
                <w:sz w:val="24"/>
                <w:szCs w:val="24"/>
              </w:rPr>
              <w:t>污水处理系统</w:t>
            </w:r>
            <w:r>
              <w:rPr>
                <w:rFonts w:hint="eastAsia" w:ascii="宋体" w:hAnsi="宋体" w:eastAsia="宋体" w:cs="宋体"/>
                <w:b w:val="0"/>
                <w:bCs w:val="0"/>
                <w:color w:val="auto"/>
                <w:sz w:val="24"/>
                <w:szCs w:val="24"/>
                <w:lang w:eastAsia="zh-CN"/>
              </w:rPr>
              <w:t>池体封闭</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并定期投放除臭剂，属于《排污许可证申请与核发技术规范 医疗机构》（HJ1105-2020）中表A.1中的加盖及投加药剂处理技术，</w:t>
            </w:r>
            <w:r>
              <w:rPr>
                <w:rFonts w:hint="eastAsia" w:ascii="宋体" w:hAnsi="宋体" w:eastAsia="宋体" w:cs="宋体"/>
                <w:b w:val="0"/>
                <w:bCs w:val="0"/>
                <w:color w:val="auto"/>
                <w:sz w:val="24"/>
                <w:szCs w:val="24"/>
              </w:rPr>
              <w:t>可避免污水处理过程中产生的恶</w:t>
            </w:r>
            <w:r>
              <w:rPr>
                <w:rFonts w:hint="eastAsia" w:ascii="宋体" w:hAnsi="宋体" w:eastAsia="宋体" w:cs="宋体"/>
                <w:b w:val="0"/>
                <w:bCs w:val="0"/>
                <w:color w:val="auto"/>
                <w:sz w:val="24"/>
                <w:szCs w:val="24"/>
                <w:lang w:eastAsia="zh-CN"/>
              </w:rPr>
              <w:t>臭</w:t>
            </w:r>
            <w:r>
              <w:rPr>
                <w:rFonts w:hint="eastAsia" w:ascii="宋体" w:hAnsi="宋体" w:eastAsia="宋体" w:cs="宋体"/>
                <w:b w:val="0"/>
                <w:bCs w:val="0"/>
                <w:color w:val="auto"/>
                <w:sz w:val="24"/>
                <w:szCs w:val="24"/>
              </w:rPr>
              <w:t>对医院医护人员和病人的影响，另外加强内部管理，对污水处理系统定期检查和维修，保证设备正常运行</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污水处理</w:t>
            </w:r>
            <w:r>
              <w:rPr>
                <w:rFonts w:hint="eastAsia" w:ascii="宋体" w:hAnsi="宋体" w:eastAsia="宋体" w:cs="宋体"/>
                <w:b w:val="0"/>
                <w:bCs w:val="0"/>
                <w:color w:val="auto"/>
                <w:sz w:val="24"/>
                <w:szCs w:val="24"/>
                <w:lang w:eastAsia="zh-CN"/>
              </w:rPr>
              <w:t>系统</w:t>
            </w:r>
            <w:r>
              <w:rPr>
                <w:rFonts w:hint="eastAsia" w:ascii="宋体" w:hAnsi="宋体" w:eastAsia="宋体" w:cs="宋体"/>
                <w:b w:val="0"/>
                <w:bCs w:val="0"/>
                <w:color w:val="auto"/>
                <w:sz w:val="24"/>
                <w:szCs w:val="24"/>
              </w:rPr>
              <w:t>产生恶</w:t>
            </w:r>
            <w:r>
              <w:rPr>
                <w:rFonts w:hint="eastAsia" w:ascii="宋体" w:hAnsi="宋体" w:eastAsia="宋体" w:cs="宋体"/>
                <w:b w:val="0"/>
                <w:bCs w:val="0"/>
                <w:color w:val="auto"/>
                <w:sz w:val="24"/>
                <w:szCs w:val="24"/>
                <w:lang w:eastAsia="zh-CN"/>
              </w:rPr>
              <w:t>臭</w:t>
            </w:r>
            <w:r>
              <w:rPr>
                <w:rFonts w:hint="eastAsia" w:ascii="宋体" w:hAnsi="宋体" w:eastAsia="宋体" w:cs="宋体"/>
                <w:b w:val="0"/>
                <w:bCs w:val="0"/>
                <w:color w:val="auto"/>
                <w:sz w:val="24"/>
                <w:szCs w:val="24"/>
              </w:rPr>
              <w:t>气体</w:t>
            </w:r>
            <w:r>
              <w:rPr>
                <w:rFonts w:hint="eastAsia" w:ascii="宋体" w:hAnsi="宋体" w:eastAsia="宋体" w:cs="宋体"/>
                <w:b w:val="0"/>
                <w:bCs w:val="0"/>
                <w:color w:val="auto"/>
                <w:sz w:val="24"/>
                <w:szCs w:val="24"/>
                <w:lang w:eastAsia="zh-CN"/>
              </w:rPr>
              <w:t>，经大气稀释扩散及绿化吸收，对大气环境影响较小。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环境监测</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为确保项目运营期各项环保设施正常运行，控制环境污染。根据《排污单位自行监测技术指南 总则》（</w:t>
            </w:r>
            <w:r>
              <w:rPr>
                <w:rFonts w:hint="eastAsia" w:ascii="宋体" w:hAnsi="宋体" w:eastAsia="宋体" w:cs="宋体"/>
                <w:b w:val="0"/>
                <w:bCs w:val="0"/>
                <w:color w:val="auto"/>
                <w:sz w:val="24"/>
                <w:szCs w:val="24"/>
                <w:lang w:val="en-US" w:eastAsia="zh-CN"/>
              </w:rPr>
              <w:t>HJ 819-2017），营运期的监测项目为臭</w:t>
            </w:r>
            <w:r>
              <w:rPr>
                <w:rFonts w:hint="eastAsia" w:ascii="宋体" w:hAnsi="宋体" w:eastAsia="宋体" w:cs="宋体"/>
                <w:b w:val="0"/>
                <w:bCs w:val="0"/>
                <w:color w:val="auto"/>
                <w:sz w:val="24"/>
                <w:szCs w:val="24"/>
              </w:rPr>
              <w:t>气浓度、硫化氢、氨</w:t>
            </w:r>
            <w:r>
              <w:rPr>
                <w:rFonts w:hint="eastAsia" w:ascii="宋体" w:hAnsi="宋体" w:eastAsia="宋体" w:cs="宋体"/>
                <w:b w:val="0"/>
                <w:bCs w:val="0"/>
                <w:color w:val="auto"/>
                <w:sz w:val="24"/>
                <w:szCs w:val="24"/>
                <w:lang w:eastAsia="zh-CN"/>
              </w:rPr>
              <w:t>、甲烷等</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具体要求按《</w:t>
            </w:r>
            <w:r>
              <w:rPr>
                <w:rFonts w:hint="eastAsia" w:ascii="宋体" w:hAnsi="宋体" w:eastAsia="宋体" w:cs="宋体"/>
                <w:b w:val="0"/>
                <w:bCs w:val="0"/>
                <w:color w:val="auto"/>
                <w:sz w:val="24"/>
                <w:szCs w:val="24"/>
                <w:lang w:eastAsia="zh-CN"/>
              </w:rPr>
              <w:t>排污许可证申请与核发技术规范</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医疗机构》（</w:t>
            </w:r>
            <w:r>
              <w:rPr>
                <w:rFonts w:hint="eastAsia" w:ascii="宋体" w:hAnsi="宋体" w:eastAsia="宋体" w:cs="宋体"/>
                <w:b w:val="0"/>
                <w:bCs w:val="0"/>
                <w:color w:val="auto"/>
                <w:sz w:val="24"/>
                <w:szCs w:val="24"/>
                <w:lang w:val="en-US" w:eastAsia="zh-CN"/>
              </w:rPr>
              <w:t>HJ1105</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20</w:t>
            </w:r>
            <w:r>
              <w:rPr>
                <w:rFonts w:hint="eastAsia" w:ascii="宋体" w:hAnsi="宋体" w:eastAsia="宋体" w:cs="宋体"/>
                <w:b w:val="0"/>
                <w:bCs w:val="0"/>
                <w:color w:val="auto"/>
                <w:sz w:val="24"/>
                <w:szCs w:val="24"/>
              </w:rPr>
              <w:t>）等</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环评建议营运期的监测计划见表</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w:t>
            </w:r>
          </w:p>
          <w:p>
            <w:pPr>
              <w:spacing w:line="240" w:lineRule="auto"/>
              <w:ind w:firstLine="420" w:firstLineChars="20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4</w:t>
            </w:r>
            <w:r>
              <w:rPr>
                <w:rFonts w:hint="eastAsia" w:ascii="黑体" w:hAnsi="黑体" w:eastAsia="黑体" w:cs="黑体"/>
                <w:b w:val="0"/>
                <w:bCs w:val="0"/>
                <w:color w:val="auto"/>
                <w:sz w:val="21"/>
                <w:szCs w:val="21"/>
              </w:rPr>
              <w:t>-</w:t>
            </w:r>
            <w:r>
              <w:rPr>
                <w:rFonts w:hint="eastAsia" w:ascii="黑体" w:hAnsi="黑体" w:eastAsia="黑体" w:cs="黑体"/>
                <w:b w:val="0"/>
                <w:bCs w:val="0"/>
                <w:color w:val="auto"/>
                <w:sz w:val="21"/>
                <w:szCs w:val="21"/>
                <w:lang w:val="en-US" w:eastAsia="zh-CN"/>
              </w:rPr>
              <w:t>1</w:t>
            </w:r>
            <w:r>
              <w:rPr>
                <w:rFonts w:hint="eastAsia" w:ascii="黑体" w:hAnsi="黑体" w:eastAsia="黑体" w:cs="黑体"/>
                <w:b w:val="0"/>
                <w:bCs w:val="0"/>
                <w:color w:val="auto"/>
                <w:sz w:val="21"/>
                <w:szCs w:val="21"/>
              </w:rPr>
              <w:t xml:space="preserve">  环境监测计划</w:t>
            </w:r>
          </w:p>
          <w:tbl>
            <w:tblPr>
              <w:tblStyle w:val="26"/>
              <w:tblW w:w="7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435"/>
              <w:gridCol w:w="1455"/>
              <w:gridCol w:w="1888"/>
              <w:gridCol w:w="872"/>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50" w:type="dxa"/>
                  <w:gridSpan w:val="2"/>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阶段</w:t>
                  </w:r>
                </w:p>
              </w:tc>
              <w:tc>
                <w:tcPr>
                  <w:tcW w:w="1455" w:type="dxa"/>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监测地点</w:t>
                  </w:r>
                </w:p>
              </w:tc>
              <w:tc>
                <w:tcPr>
                  <w:tcW w:w="1888" w:type="dxa"/>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监测项目</w:t>
                  </w:r>
                </w:p>
              </w:tc>
              <w:tc>
                <w:tcPr>
                  <w:tcW w:w="872" w:type="dxa"/>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监测频率</w:t>
                  </w:r>
                </w:p>
              </w:tc>
              <w:tc>
                <w:tcPr>
                  <w:tcW w:w="2490" w:type="dxa"/>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415" w:type="dxa"/>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营运期</w:t>
                  </w:r>
                </w:p>
              </w:tc>
              <w:tc>
                <w:tcPr>
                  <w:tcW w:w="435" w:type="dxa"/>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废气</w:t>
                  </w:r>
                </w:p>
              </w:tc>
              <w:tc>
                <w:tcPr>
                  <w:tcW w:w="1455" w:type="dxa"/>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污水处理站上风向（1#）及下风向（2#、3#）</w:t>
                  </w:r>
                </w:p>
              </w:tc>
              <w:tc>
                <w:tcPr>
                  <w:tcW w:w="1888" w:type="dxa"/>
                  <w:vAlign w:val="center"/>
                </w:tcPr>
                <w:p>
                  <w:pPr>
                    <w:keepNext w:val="0"/>
                    <w:keepLines w:val="0"/>
                    <w:widowControl/>
                    <w:suppressLineNumbers w:val="0"/>
                    <w:spacing w:line="240" w:lineRule="auto"/>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臭</w:t>
                  </w:r>
                  <w:r>
                    <w:rPr>
                      <w:rFonts w:hint="eastAsia" w:ascii="宋体" w:hAnsi="宋体" w:eastAsia="宋体" w:cs="宋体"/>
                      <w:b w:val="0"/>
                      <w:bCs w:val="0"/>
                      <w:color w:val="auto"/>
                      <w:sz w:val="18"/>
                      <w:szCs w:val="18"/>
                    </w:rPr>
                    <w:t>气浓度、硫化氢、氨</w:t>
                  </w:r>
                  <w:r>
                    <w:rPr>
                      <w:rFonts w:hint="eastAsia" w:ascii="宋体" w:hAnsi="宋体" w:eastAsia="宋体" w:cs="宋体"/>
                      <w:b w:val="0"/>
                      <w:bCs w:val="0"/>
                      <w:color w:val="auto"/>
                      <w:sz w:val="18"/>
                      <w:szCs w:val="18"/>
                      <w:lang w:eastAsia="zh-CN"/>
                    </w:rPr>
                    <w:t>、甲烷</w:t>
                  </w:r>
                </w:p>
              </w:tc>
              <w:tc>
                <w:tcPr>
                  <w:tcW w:w="872" w:type="dxa"/>
                  <w:vAlign w:val="center"/>
                </w:tcPr>
                <w:p>
                  <w:pPr>
                    <w:spacing w:line="240" w:lineRule="auto"/>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1次/季度</w:t>
                  </w:r>
                </w:p>
              </w:tc>
              <w:tc>
                <w:tcPr>
                  <w:tcW w:w="2490" w:type="dxa"/>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 xml:space="preserve">《医疗机构水污染物排放标准》（GB18466-20 </w:t>
                  </w:r>
                </w:p>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05）表3中的排放标准及《恶臭污染物排放标准》（GB14554-93）</w:t>
                  </w:r>
                </w:p>
              </w:tc>
            </w:tr>
          </w:tbl>
          <w:p>
            <w:pPr>
              <w:numPr>
                <w:ilvl w:val="0"/>
                <w:numId w:val="0"/>
              </w:numPr>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2.2废水影响分析及保护措施</w:t>
            </w:r>
          </w:p>
          <w:p>
            <w:pPr>
              <w:pStyle w:val="21"/>
              <w:adjustRightInd w:val="0"/>
              <w:snapToGrid w:val="0"/>
              <w:spacing w:before="0" w:beforeAutospacing="0" w:after="0" w:afterAutospacing="0"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废水排放情况</w:t>
            </w:r>
          </w:p>
          <w:p>
            <w:pPr>
              <w:keepNext/>
              <w:keepLines/>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门诊废水</w:t>
            </w:r>
          </w:p>
          <w:p>
            <w:pPr>
              <w:keepNext/>
              <w:keepLines/>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根据建设单位提供资料</w:t>
            </w:r>
            <w:r>
              <w:rPr>
                <w:rFonts w:hint="eastAsia" w:ascii="宋体" w:hAnsi="宋体" w:eastAsia="宋体" w:cs="宋体"/>
                <w:color w:val="auto"/>
                <w:sz w:val="24"/>
                <w:szCs w:val="24"/>
              </w:rPr>
              <w:t>，勐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镇卫生院</w:t>
            </w:r>
            <w:r>
              <w:rPr>
                <w:rFonts w:hint="eastAsia" w:ascii="宋体" w:hAnsi="宋体" w:eastAsia="宋体" w:cs="宋体"/>
                <w:color w:val="auto"/>
                <w:sz w:val="24"/>
                <w:szCs w:val="24"/>
                <w:lang w:val="en-US" w:eastAsia="zh-CN"/>
              </w:rPr>
              <w:t>日最大接诊100</w:t>
            </w:r>
            <w:r>
              <w:rPr>
                <w:rFonts w:hint="eastAsia" w:ascii="宋体" w:hAnsi="宋体" w:eastAsia="宋体" w:cs="宋体"/>
                <w:color w:val="auto"/>
                <w:sz w:val="24"/>
                <w:szCs w:val="24"/>
              </w:rPr>
              <w:t>人次，接诊率按100%计，根据《云南省地方标准用水定额》（DB53/T 168—2019）（无住院部含行政及医护人员，附属设施等综合用水）：</w:t>
            </w:r>
            <w:r>
              <w:rPr>
                <w:rFonts w:hint="eastAsia" w:ascii="宋体" w:hAnsi="宋体" w:eastAsia="宋体" w:cs="宋体"/>
                <w:color w:val="auto"/>
                <w:sz w:val="24"/>
                <w:szCs w:val="24"/>
                <w:lang w:val="en-US" w:eastAsia="zh-CN"/>
              </w:rPr>
              <w:t>卫生所</w:t>
            </w:r>
            <w:r>
              <w:rPr>
                <w:rFonts w:hint="eastAsia" w:ascii="宋体" w:hAnsi="宋体" w:eastAsia="宋体" w:cs="宋体"/>
                <w:color w:val="auto"/>
                <w:sz w:val="24"/>
                <w:szCs w:val="24"/>
              </w:rPr>
              <w:t>用水定额为</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L/人·次，则门诊用水量为</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/d，约</w:t>
            </w:r>
            <w:r>
              <w:rPr>
                <w:rFonts w:hint="eastAsia" w:ascii="宋体" w:hAnsi="宋体" w:eastAsia="宋体" w:cs="宋体"/>
                <w:color w:val="auto"/>
                <w:sz w:val="24"/>
                <w:szCs w:val="24"/>
                <w:lang w:val="en-US" w:eastAsia="zh-CN"/>
              </w:rPr>
              <w:t>547.5</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/a，废水量按用水量的80%计，为</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/d，约</w:t>
            </w:r>
            <w:r>
              <w:rPr>
                <w:rFonts w:hint="eastAsia" w:ascii="宋体" w:hAnsi="宋体" w:eastAsia="宋体" w:cs="宋体"/>
                <w:color w:val="auto"/>
                <w:sz w:val="24"/>
                <w:szCs w:val="24"/>
                <w:lang w:val="en-US" w:eastAsia="zh-CN"/>
              </w:rPr>
              <w:t>438</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w:t>
            </w:r>
          </w:p>
          <w:p>
            <w:pPr>
              <w:keepNext/>
              <w:keepLines/>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住院</w:t>
            </w:r>
            <w:r>
              <w:rPr>
                <w:rFonts w:hint="eastAsia" w:ascii="宋体" w:hAnsi="宋体" w:eastAsia="宋体" w:cs="宋体"/>
                <w:color w:val="auto"/>
                <w:sz w:val="24"/>
                <w:szCs w:val="24"/>
              </w:rPr>
              <w:t>废水</w:t>
            </w:r>
          </w:p>
          <w:p>
            <w:pPr>
              <w:keepNext/>
              <w:keepLines/>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勐</w:t>
            </w:r>
            <w:r>
              <w:rPr>
                <w:rFonts w:hint="eastAsia" w:ascii="宋体" w:hAnsi="宋体" w:eastAsia="宋体" w:cs="宋体"/>
                <w:color w:val="auto"/>
                <w:sz w:val="24"/>
                <w:szCs w:val="24"/>
                <w:lang w:val="en-US" w:eastAsia="zh-CN"/>
              </w:rPr>
              <w:t>海</w:t>
            </w:r>
            <w:r>
              <w:rPr>
                <w:rFonts w:hint="eastAsia" w:ascii="宋体" w:hAnsi="宋体" w:eastAsia="宋体" w:cs="宋体"/>
                <w:color w:val="auto"/>
                <w:sz w:val="24"/>
                <w:szCs w:val="24"/>
              </w:rPr>
              <w:t>镇卫生院编制床位</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床。根据《云南省地方标准用水定额》（DB53/T168—2019）：医院住院部用水定额为</w:t>
            </w:r>
            <w:r>
              <w:rPr>
                <w:rFonts w:hint="eastAsia" w:ascii="宋体" w:hAnsi="宋体" w:eastAsia="宋体" w:cs="宋体"/>
                <w:color w:val="auto"/>
                <w:sz w:val="24"/>
                <w:szCs w:val="24"/>
                <w:lang w:val="en-US" w:eastAsia="zh-CN"/>
              </w:rPr>
              <w:t>150</w:t>
            </w:r>
            <w:r>
              <w:rPr>
                <w:rFonts w:hint="eastAsia" w:ascii="宋体" w:hAnsi="宋体" w:eastAsia="宋体" w:cs="宋体"/>
                <w:color w:val="auto"/>
                <w:sz w:val="24"/>
                <w:szCs w:val="24"/>
              </w:rPr>
              <w:t>L/床·d，病房内</w:t>
            </w:r>
            <w:r>
              <w:rPr>
                <w:rFonts w:hint="eastAsia" w:ascii="宋体" w:hAnsi="宋体" w:eastAsia="宋体" w:cs="宋体"/>
                <w:color w:val="auto"/>
                <w:sz w:val="24"/>
                <w:szCs w:val="24"/>
                <w:lang w:val="en-US" w:eastAsia="zh-CN"/>
              </w:rPr>
              <w:t>不</w:t>
            </w:r>
            <w:r>
              <w:rPr>
                <w:rFonts w:hint="eastAsia" w:ascii="宋体" w:hAnsi="宋体" w:eastAsia="宋体" w:cs="宋体"/>
                <w:color w:val="auto"/>
                <w:sz w:val="24"/>
                <w:szCs w:val="24"/>
              </w:rPr>
              <w:t>带洗浴（含行政及医护人员、附属设施等综合用水），则住院部用水量为</w:t>
            </w: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1204.5</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/a，废水量按用水量的80%计，为</w:t>
            </w:r>
            <w:r>
              <w:rPr>
                <w:rFonts w:hint="eastAsia" w:ascii="宋体" w:hAnsi="宋体" w:eastAsia="宋体" w:cs="宋体"/>
                <w:color w:val="auto"/>
                <w:sz w:val="24"/>
                <w:szCs w:val="24"/>
                <w:lang w:val="en-US" w:eastAsia="zh-CN"/>
              </w:rPr>
              <w:t>2.64</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963.6</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w:t>
            </w:r>
          </w:p>
          <w:p>
            <w:pPr>
              <w:pStyle w:val="16"/>
              <w:spacing w:line="360" w:lineRule="auto"/>
              <w:ind w:firstLine="560"/>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b w:val="0"/>
                <w:bCs w:val="0"/>
                <w:color w:val="auto"/>
                <w:sz w:val="24"/>
                <w:szCs w:val="24"/>
                <w:lang w:val="en-US" w:eastAsia="zh-CN"/>
              </w:rPr>
              <w:t>医护人员生活用水</w:t>
            </w:r>
          </w:p>
          <w:p>
            <w:pPr>
              <w:keepNext/>
              <w:keepLines/>
              <w:spacing w:line="360" w:lineRule="auto"/>
              <w:ind w:firstLine="56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本项目用水由市政供水系统供水，</w:t>
            </w:r>
            <w:r>
              <w:rPr>
                <w:rFonts w:hint="eastAsia" w:ascii="宋体" w:hAnsi="宋体" w:eastAsia="宋体" w:cs="宋体"/>
                <w:b w:val="0"/>
                <w:bCs w:val="0"/>
                <w:color w:val="auto"/>
                <w:sz w:val="24"/>
                <w:szCs w:val="24"/>
                <w:lang w:val="en-US" w:eastAsia="zh-CN"/>
              </w:rPr>
              <w:t>卫生院不设食堂，20人在卫生院住宿，</w:t>
            </w:r>
            <w:r>
              <w:rPr>
                <w:rFonts w:hint="eastAsia" w:ascii="宋体" w:hAnsi="宋体" w:eastAsia="宋体" w:cs="宋体"/>
                <w:color w:val="auto"/>
                <w:sz w:val="24"/>
                <w:szCs w:val="24"/>
              </w:rPr>
              <w:t>根据《云南省用水定额标准》(DB53/T168-2019)城镇居民用水定额，项目职工生活用水按100L(人·d)计</w:t>
            </w:r>
            <w:r>
              <w:rPr>
                <w:rFonts w:hint="eastAsia" w:ascii="宋体" w:hAnsi="宋体" w:eastAsia="宋体" w:cs="宋体"/>
                <w:color w:val="auto"/>
                <w:sz w:val="24"/>
                <w:szCs w:val="24"/>
                <w:lang w:eastAsia="zh-CN"/>
              </w:rPr>
              <w:t>，</w:t>
            </w:r>
            <w:r>
              <w:rPr>
                <w:rFonts w:hint="eastAsia" w:ascii="宋体" w:hAnsi="宋体" w:eastAsia="宋体" w:cs="宋体"/>
                <w:b w:val="0"/>
                <w:bCs w:val="0"/>
                <w:color w:val="auto"/>
                <w:sz w:val="24"/>
                <w:szCs w:val="24"/>
              </w:rPr>
              <w:t>则</w:t>
            </w:r>
            <w:r>
              <w:rPr>
                <w:rFonts w:hint="eastAsia" w:ascii="宋体" w:hAnsi="宋体" w:eastAsia="宋体" w:cs="宋体"/>
                <w:b w:val="0"/>
                <w:bCs w:val="0"/>
                <w:color w:val="auto"/>
                <w:sz w:val="24"/>
                <w:szCs w:val="24"/>
                <w:lang w:val="en-US" w:eastAsia="zh-CN"/>
              </w:rPr>
              <w:t>医护人员</w:t>
            </w:r>
            <w:r>
              <w:rPr>
                <w:rFonts w:hint="eastAsia" w:ascii="宋体" w:hAnsi="宋体" w:eastAsia="宋体" w:cs="宋体"/>
                <w:b w:val="0"/>
                <w:bCs w:val="0"/>
                <w:color w:val="auto"/>
                <w:sz w:val="24"/>
                <w:szCs w:val="24"/>
              </w:rPr>
              <w:t>生活用水量为</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eastAsia="zh-CN"/>
              </w:rPr>
              <w:t>m³</w:t>
            </w:r>
            <w:r>
              <w:rPr>
                <w:rFonts w:hint="eastAsia" w:ascii="宋体" w:hAnsi="宋体" w:eastAsia="宋体" w:cs="宋体"/>
                <w:b w:val="0"/>
                <w:bCs w:val="0"/>
                <w:color w:val="auto"/>
                <w:sz w:val="24"/>
                <w:szCs w:val="24"/>
                <w:lang w:val="en-US" w:eastAsia="zh-CN"/>
              </w:rPr>
              <w:t>/d、730</w:t>
            </w:r>
            <w:r>
              <w:rPr>
                <w:rFonts w:hint="eastAsia" w:ascii="宋体" w:hAnsi="宋体" w:eastAsia="宋体" w:cs="宋体"/>
                <w:b w:val="0"/>
                <w:bCs w:val="0"/>
                <w:color w:val="auto"/>
                <w:sz w:val="24"/>
                <w:szCs w:val="24"/>
                <w:lang w:eastAsia="zh-CN"/>
              </w:rPr>
              <w:t>m³</w:t>
            </w:r>
            <w:r>
              <w:rPr>
                <w:rFonts w:hint="eastAsia" w:ascii="宋体" w:hAnsi="宋体" w:eastAsia="宋体" w:cs="宋体"/>
                <w:b w:val="0"/>
                <w:bCs w:val="0"/>
                <w:color w:val="auto"/>
                <w:sz w:val="24"/>
                <w:szCs w:val="24"/>
              </w:rPr>
              <w:t>/a。废水量按用水量的80%计，为</w:t>
            </w:r>
            <w:r>
              <w:rPr>
                <w:rFonts w:hint="eastAsia" w:ascii="宋体" w:hAnsi="宋体" w:eastAsia="宋体" w:cs="宋体"/>
                <w:b w:val="0"/>
                <w:bCs w:val="0"/>
                <w:color w:val="auto"/>
                <w:sz w:val="24"/>
                <w:szCs w:val="24"/>
                <w:lang w:val="en-US" w:eastAsia="zh-CN"/>
              </w:rPr>
              <w:t>1.6</w:t>
            </w:r>
            <w:r>
              <w:rPr>
                <w:rFonts w:hint="eastAsia" w:ascii="宋体" w:hAnsi="宋体" w:eastAsia="宋体" w:cs="宋体"/>
                <w:b w:val="0"/>
                <w:bCs w:val="0"/>
                <w:color w:val="auto"/>
                <w:sz w:val="24"/>
                <w:szCs w:val="24"/>
                <w:lang w:eastAsia="zh-CN"/>
              </w:rPr>
              <w:t>m³</w:t>
            </w:r>
            <w:r>
              <w:rPr>
                <w:rFonts w:hint="eastAsia" w:ascii="宋体" w:hAnsi="宋体" w:eastAsia="宋体" w:cs="宋体"/>
                <w:b w:val="0"/>
                <w:bCs w:val="0"/>
                <w:color w:val="auto"/>
                <w:sz w:val="24"/>
                <w:szCs w:val="24"/>
              </w:rPr>
              <w:t>/d，</w:t>
            </w:r>
            <w:r>
              <w:rPr>
                <w:rFonts w:hint="eastAsia" w:ascii="宋体" w:hAnsi="宋体" w:eastAsia="宋体" w:cs="宋体"/>
                <w:b w:val="0"/>
                <w:bCs w:val="0"/>
                <w:color w:val="auto"/>
                <w:sz w:val="24"/>
                <w:szCs w:val="24"/>
                <w:lang w:val="en-US" w:eastAsia="zh-CN"/>
              </w:rPr>
              <w:t>584</w:t>
            </w:r>
            <w:r>
              <w:rPr>
                <w:rFonts w:hint="eastAsia" w:ascii="宋体" w:hAnsi="宋体" w:eastAsia="宋体" w:cs="宋体"/>
                <w:b w:val="0"/>
                <w:bCs w:val="0"/>
                <w:color w:val="auto"/>
                <w:sz w:val="24"/>
                <w:szCs w:val="24"/>
                <w:lang w:eastAsia="zh-CN"/>
              </w:rPr>
              <w:t>m³</w:t>
            </w:r>
            <w:r>
              <w:rPr>
                <w:rFonts w:hint="eastAsia" w:ascii="宋体" w:hAnsi="宋体" w:eastAsia="宋体" w:cs="宋体"/>
                <w:b w:val="0"/>
                <w:bCs w:val="0"/>
                <w:color w:val="auto"/>
                <w:sz w:val="24"/>
                <w:szCs w:val="24"/>
              </w:rPr>
              <w:t>/a。</w:t>
            </w:r>
          </w:p>
          <w:p>
            <w:pPr>
              <w:pStyle w:val="16"/>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检验废水</w:t>
            </w:r>
          </w:p>
          <w:p>
            <w:pPr>
              <w:widowControl/>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b w:val="0"/>
                <w:bCs w:val="0"/>
                <w:color w:val="auto"/>
                <w:kern w:val="0"/>
                <w:sz w:val="24"/>
                <w:szCs w:val="24"/>
                <w:lang w:bidi="ar"/>
              </w:rPr>
              <w:t>本项目检验科主要进行常规的血样、尿样分析，不使用含重金</w:t>
            </w:r>
            <w:r>
              <w:rPr>
                <w:rFonts w:hint="eastAsia" w:ascii="宋体" w:hAnsi="宋体" w:eastAsia="宋体" w:cs="宋体"/>
                <w:color w:val="auto"/>
                <w:kern w:val="0"/>
                <w:sz w:val="24"/>
                <w:szCs w:val="24"/>
                <w:lang w:bidi="ar"/>
              </w:rPr>
              <w:t>属的药剂，检验科的试剂使用设备厂家配套的套装试剂，不会产生废试剂；检验科废水主要为检验设备清洗废水，不会产生含氰、含铬等重金属废水，</w:t>
            </w:r>
            <w:r>
              <w:rPr>
                <w:rFonts w:hint="eastAsia" w:ascii="宋体" w:hAnsi="宋体" w:eastAsia="宋体" w:cs="宋体"/>
                <w:color w:val="auto"/>
                <w:kern w:val="0"/>
                <w:sz w:val="24"/>
                <w:szCs w:val="24"/>
                <w:lang w:val="en-US" w:eastAsia="zh-CN" w:bidi="ar"/>
              </w:rPr>
              <w:t>经过检验废水收集桶中和预处理后，</w:t>
            </w:r>
            <w:r>
              <w:rPr>
                <w:rFonts w:hint="eastAsia" w:ascii="宋体" w:hAnsi="宋体" w:eastAsia="宋体" w:cs="宋体"/>
                <w:color w:val="auto"/>
                <w:kern w:val="0"/>
                <w:sz w:val="24"/>
                <w:szCs w:val="24"/>
                <w:lang w:bidi="ar"/>
              </w:rPr>
              <w:t>进入自建的污水处理站进行处理。</w:t>
            </w:r>
          </w:p>
          <w:p>
            <w:pPr>
              <w:widowControl/>
              <w:adjustRightInd w:val="0"/>
              <w:snapToGrid w:val="0"/>
              <w:spacing w:line="360" w:lineRule="auto"/>
              <w:ind w:firstLine="480" w:firstLineChars="200"/>
              <w:jc w:val="left"/>
              <w:rPr>
                <w:rFonts w:hint="eastAsia" w:ascii="宋体" w:hAnsi="宋体" w:eastAsia="宋体" w:cs="宋体"/>
                <w:color w:val="auto"/>
                <w:kern w:val="0"/>
                <w:sz w:val="24"/>
                <w:szCs w:val="24"/>
                <w:lang w:bidi="ar"/>
              </w:rPr>
            </w:pPr>
            <w:r>
              <w:rPr>
                <w:rFonts w:hint="eastAsia" w:ascii="宋体" w:hAnsi="宋体" w:eastAsia="宋体" w:cs="宋体"/>
                <w:color w:val="auto"/>
                <w:sz w:val="24"/>
                <w:szCs w:val="24"/>
              </w:rPr>
              <w:t>据</w:t>
            </w:r>
            <w:r>
              <w:rPr>
                <w:rFonts w:hint="eastAsia" w:ascii="宋体" w:hAnsi="宋体" w:eastAsia="宋体" w:cs="宋体"/>
                <w:color w:val="auto"/>
                <w:sz w:val="24"/>
                <w:szCs w:val="24"/>
                <w:lang w:val="en-US" w:eastAsia="zh-CN"/>
              </w:rPr>
              <w:t>业主</w:t>
            </w:r>
            <w:r>
              <w:rPr>
                <w:rFonts w:hint="eastAsia" w:ascii="宋体" w:hAnsi="宋体" w:eastAsia="宋体" w:cs="宋体"/>
                <w:color w:val="auto"/>
                <w:sz w:val="24"/>
                <w:szCs w:val="24"/>
              </w:rPr>
              <w:t>提供资料，</w:t>
            </w:r>
            <w:r>
              <w:rPr>
                <w:rFonts w:hint="eastAsia" w:ascii="宋体" w:hAnsi="宋体" w:eastAsia="宋体" w:cs="宋体"/>
                <w:color w:val="auto"/>
                <w:sz w:val="24"/>
                <w:szCs w:val="24"/>
                <w:lang w:val="en-US" w:eastAsia="zh-CN"/>
              </w:rPr>
              <w:t>卫生院每天需要化验人数为20人，</w:t>
            </w:r>
            <w:r>
              <w:rPr>
                <w:rFonts w:hint="eastAsia" w:ascii="宋体" w:hAnsi="宋体" w:eastAsia="宋体" w:cs="宋体"/>
                <w:color w:val="auto"/>
                <w:sz w:val="24"/>
                <w:szCs w:val="24"/>
              </w:rPr>
              <w:t>检验清洗用水按5L/(人•d)计算，检验清洗用水量约为0.1m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36.5</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/a，污水产生系数按8</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%计，污水产生量0.</w:t>
            </w:r>
            <w:r>
              <w:rPr>
                <w:rFonts w:hint="eastAsia" w:ascii="宋体" w:hAnsi="宋体" w:eastAsia="宋体" w:cs="宋体"/>
                <w:color w:val="auto"/>
                <w:sz w:val="24"/>
                <w:szCs w:val="24"/>
                <w:lang w:val="en-US" w:eastAsia="zh-CN"/>
              </w:rPr>
              <w:t>08</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29.2</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/a。产生的检验废水为少量的血常规检验酸性废水，</w:t>
            </w:r>
            <w:r>
              <w:rPr>
                <w:rFonts w:hint="eastAsia" w:ascii="宋体" w:hAnsi="宋体" w:eastAsia="宋体" w:cs="宋体"/>
                <w:color w:val="auto"/>
                <w:kern w:val="0"/>
                <w:sz w:val="24"/>
                <w:szCs w:val="24"/>
                <w:lang w:bidi="ar"/>
              </w:rPr>
              <w:t>属特殊医疗废水，需采用封闭式收集桶单独收集经中和预处理后再排入化粪池及污水处理站。</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（5）手术废水</w:t>
            </w:r>
          </w:p>
          <w:p>
            <w:pPr>
              <w:widowControl/>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手术室用水主要为室内清洗和消毒，根据业主资料，平均每周1次手术，用水量约为1m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/次，全年手术合计52天，用水量合计为52m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/a，平均到每天水量为0.14m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/d，产污系数按0.8计，则手术室废水量为0.11</w:t>
            </w: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/d，</w:t>
            </w:r>
            <w:r>
              <w:rPr>
                <w:rFonts w:hint="eastAsia" w:ascii="宋体" w:hAnsi="宋体" w:eastAsia="宋体" w:cs="宋体"/>
                <w:color w:val="auto"/>
                <w:kern w:val="0"/>
                <w:sz w:val="24"/>
                <w:szCs w:val="24"/>
                <w:lang w:val="en-US" w:eastAsia="zh-CN" w:bidi="ar"/>
              </w:rPr>
              <w:t>40.88</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/a。</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（6）煎药及清洗用水</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煎药用水主要为中药煎熬用水及煎药机清洗用水。煎药机煎药次数约</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副/d。类比同类项目，单幅煎药用水量为0.005m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，全年按365天计,煎药用水量为0.0</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 ，</w:t>
            </w:r>
            <w:r>
              <w:rPr>
                <w:rFonts w:hint="eastAsia" w:ascii="宋体" w:hAnsi="宋体" w:eastAsia="宋体" w:cs="宋体"/>
                <w:color w:val="auto"/>
                <w:sz w:val="24"/>
                <w:szCs w:val="24"/>
                <w:lang w:val="en-US" w:eastAsia="zh-CN"/>
              </w:rPr>
              <w:t>9.125</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/a，该用水一部分蒸发，少部分残留在药渣内，剩余部分存留于药液，不产生废水。</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煎药机清洗用水量约0.02 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/次，每次煎药后均需要清洗，煎药机清洗用水量为0.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 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36.5</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/a。产污系数按80%计，则煎药机清洗废水产生量为</w:t>
            </w:r>
            <w:r>
              <w:rPr>
                <w:rFonts w:hint="eastAsia" w:ascii="宋体" w:hAnsi="宋体" w:eastAsia="宋体" w:cs="宋体"/>
                <w:color w:val="auto"/>
                <w:sz w:val="24"/>
                <w:szCs w:val="24"/>
                <w:lang w:val="en-US" w:eastAsia="zh-CN"/>
              </w:rPr>
              <w:t>0.08</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29.2</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w:t>
            </w:r>
          </w:p>
          <w:p>
            <w:pPr>
              <w:pStyle w:val="16"/>
              <w:numPr>
                <w:ilvl w:val="0"/>
                <w:numId w:val="8"/>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熏蒸用水</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傣医馆</w:t>
            </w:r>
            <w:r>
              <w:rPr>
                <w:rFonts w:hint="eastAsia" w:ascii="宋体" w:hAnsi="宋体" w:eastAsia="宋体" w:cs="宋体"/>
                <w:color w:val="auto"/>
                <w:sz w:val="24"/>
                <w:szCs w:val="24"/>
              </w:rPr>
              <w:t>每天约熏蒸5人次，根据类比每人熏蒸用水量约150L，项目熏蒸用水量为0.75m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/d，273.75m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/a。产污系数按8</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%计，则熏蒸废水产生量为0.6m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/d，</w:t>
            </w:r>
            <w:r>
              <w:rPr>
                <w:rFonts w:hint="eastAsia" w:ascii="宋体" w:hAnsi="宋体" w:eastAsia="宋体" w:cs="宋体"/>
                <w:color w:val="auto"/>
                <w:sz w:val="24"/>
                <w:szCs w:val="24"/>
                <w:lang w:val="en-US" w:eastAsia="zh-CN"/>
              </w:rPr>
              <w:t>219</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/a。</w:t>
            </w:r>
          </w:p>
          <w:p>
            <w:pPr>
              <w:pStyle w:val="28"/>
              <w:numPr>
                <w:ilvl w:val="0"/>
                <w:numId w:val="8"/>
              </w:numPr>
              <w:ind w:left="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地面</w:t>
            </w:r>
            <w:r>
              <w:rPr>
                <w:rFonts w:hint="eastAsia" w:ascii="宋体" w:hAnsi="宋体" w:eastAsia="宋体" w:cs="宋体"/>
                <w:color w:val="auto"/>
                <w:sz w:val="24"/>
                <w:szCs w:val="24"/>
                <w:lang w:bidi="ar"/>
              </w:rPr>
              <w:t>清洁用水</w:t>
            </w:r>
          </w:p>
          <w:p>
            <w:pPr>
              <w:pStyle w:val="30"/>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本项目</w:t>
            </w:r>
            <w:r>
              <w:rPr>
                <w:rFonts w:hint="eastAsia" w:ascii="宋体" w:hAnsi="宋体" w:eastAsia="宋体" w:cs="宋体"/>
                <w:color w:val="auto"/>
                <w:sz w:val="24"/>
                <w:szCs w:val="24"/>
                <w:lang w:val="en-US" w:eastAsia="zh-CN"/>
              </w:rPr>
              <w:t>综合楼、医技楼、办公楼等</w:t>
            </w:r>
            <w:r>
              <w:rPr>
                <w:rFonts w:hint="eastAsia" w:ascii="宋体" w:hAnsi="宋体" w:eastAsia="宋体" w:cs="宋体"/>
                <w:color w:val="auto"/>
                <w:sz w:val="24"/>
                <w:szCs w:val="24"/>
                <w:lang w:val="en-US"/>
              </w:rPr>
              <w:t>建筑面积为</w:t>
            </w:r>
            <w:r>
              <w:rPr>
                <w:rFonts w:hint="eastAsia" w:ascii="宋体" w:hAnsi="宋体" w:eastAsia="宋体" w:cs="宋体"/>
                <w:color w:val="auto"/>
                <w:sz w:val="24"/>
                <w:szCs w:val="24"/>
                <w:lang w:val="en-US" w:eastAsia="zh-CN"/>
              </w:rPr>
              <w:t>5545.18m</w:t>
            </w:r>
            <w:r>
              <w:rPr>
                <w:rFonts w:hint="eastAsia" w:ascii="宋体" w:hAnsi="宋体" w:eastAsia="宋体" w:cs="宋体"/>
                <w:color w:val="auto"/>
                <w:sz w:val="24"/>
                <w:szCs w:val="24"/>
                <w:vertAlign w:val="superscript"/>
                <w:lang w:val="en-US" w:eastAsia="zh-CN"/>
              </w:rPr>
              <w:t>2</w:t>
            </w:r>
            <w:r>
              <w:rPr>
                <w:rFonts w:hint="eastAsia" w:ascii="宋体" w:hAnsi="宋体" w:eastAsia="宋体" w:cs="宋体"/>
                <w:color w:val="auto"/>
                <w:sz w:val="24"/>
                <w:szCs w:val="24"/>
                <w:lang w:val="en-US"/>
              </w:rPr>
              <w:t>，</w:t>
            </w:r>
            <w:r>
              <w:rPr>
                <w:rFonts w:hint="eastAsia" w:ascii="宋体" w:hAnsi="宋体" w:eastAsia="宋体" w:cs="宋体"/>
                <w:color w:val="auto"/>
                <w:kern w:val="0"/>
                <w:sz w:val="24"/>
                <w:szCs w:val="24"/>
                <w:lang w:bidi="ar"/>
              </w:rPr>
              <w:t>地面清洗采用拖把擦洗，用水量按</w:t>
            </w:r>
            <w:r>
              <w:rPr>
                <w:rFonts w:hint="eastAsia" w:ascii="宋体" w:hAnsi="宋体" w:eastAsia="宋体" w:cs="宋体"/>
                <w:color w:val="auto"/>
                <w:kern w:val="0"/>
                <w:sz w:val="24"/>
                <w:szCs w:val="24"/>
                <w:lang w:val="en-US" w:eastAsia="zh-CN" w:bidi="ar"/>
              </w:rPr>
              <w:t>0.2</w:t>
            </w:r>
            <w:r>
              <w:rPr>
                <w:rFonts w:hint="eastAsia" w:ascii="宋体" w:hAnsi="宋体" w:eastAsia="宋体" w:cs="宋体"/>
                <w:color w:val="auto"/>
                <w:kern w:val="0"/>
                <w:sz w:val="24"/>
                <w:szCs w:val="24"/>
                <w:lang w:bidi="ar"/>
              </w:rPr>
              <w:t>L/（m</w:t>
            </w:r>
            <w:r>
              <w:rPr>
                <w:rFonts w:hint="eastAsia" w:ascii="宋体" w:hAnsi="宋体" w:eastAsia="宋体" w:cs="宋体"/>
                <w:color w:val="auto"/>
                <w:kern w:val="0"/>
                <w:sz w:val="24"/>
                <w:szCs w:val="24"/>
                <w:vertAlign w:val="superscript"/>
                <w:lang w:bidi="ar"/>
              </w:rPr>
              <w:t>2</w:t>
            </w:r>
            <w:r>
              <w:rPr>
                <w:rFonts w:hint="eastAsia" w:ascii="宋体" w:hAnsi="宋体" w:eastAsia="宋体" w:cs="宋体"/>
                <w:color w:val="auto"/>
                <w:kern w:val="0"/>
                <w:sz w:val="24"/>
                <w:szCs w:val="24"/>
                <w:lang w:bidi="ar"/>
              </w:rPr>
              <w:t>·d），则用水量为</w:t>
            </w:r>
            <w:r>
              <w:rPr>
                <w:rFonts w:hint="eastAsia" w:ascii="宋体" w:hAnsi="宋体" w:eastAsia="宋体" w:cs="宋体"/>
                <w:color w:val="auto"/>
                <w:kern w:val="0"/>
                <w:sz w:val="24"/>
                <w:szCs w:val="24"/>
                <w:lang w:val="en-US" w:eastAsia="zh-CN" w:bidi="ar"/>
              </w:rPr>
              <w:t>1.109</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/d、</w:t>
            </w:r>
            <w:r>
              <w:rPr>
                <w:rFonts w:hint="eastAsia" w:ascii="宋体" w:hAnsi="宋体" w:eastAsia="宋体" w:cs="宋体"/>
                <w:color w:val="auto"/>
                <w:kern w:val="0"/>
                <w:sz w:val="24"/>
                <w:szCs w:val="24"/>
                <w:lang w:val="en-US" w:eastAsia="zh-CN" w:bidi="ar"/>
              </w:rPr>
              <w:t>404.785</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/a，产污系数按0.</w:t>
            </w:r>
            <w:r>
              <w:rPr>
                <w:rFonts w:hint="eastAsia" w:ascii="宋体" w:hAnsi="宋体" w:eastAsia="宋体" w:cs="宋体"/>
                <w:color w:val="auto"/>
                <w:kern w:val="0"/>
                <w:sz w:val="24"/>
                <w:szCs w:val="24"/>
                <w:lang w:val="en-US" w:eastAsia="zh-CN" w:bidi="ar"/>
              </w:rPr>
              <w:t>8</w:t>
            </w:r>
            <w:r>
              <w:rPr>
                <w:rFonts w:hint="eastAsia" w:ascii="宋体" w:hAnsi="宋体" w:eastAsia="宋体" w:cs="宋体"/>
                <w:color w:val="auto"/>
                <w:kern w:val="0"/>
                <w:sz w:val="24"/>
                <w:szCs w:val="24"/>
                <w:lang w:bidi="ar"/>
              </w:rPr>
              <w:t>计，则地面清洁废水量为</w:t>
            </w:r>
            <w:r>
              <w:rPr>
                <w:rFonts w:hint="eastAsia" w:ascii="宋体" w:hAnsi="宋体" w:eastAsia="宋体" w:cs="宋体"/>
                <w:color w:val="auto"/>
                <w:kern w:val="0"/>
                <w:sz w:val="24"/>
                <w:szCs w:val="24"/>
                <w:lang w:val="en-US" w:eastAsia="zh-CN" w:bidi="ar"/>
              </w:rPr>
              <w:t>0.89</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/d，</w:t>
            </w:r>
            <w:r>
              <w:rPr>
                <w:rFonts w:hint="eastAsia" w:ascii="宋体" w:hAnsi="宋体" w:eastAsia="宋体" w:cs="宋体"/>
                <w:color w:val="auto"/>
                <w:kern w:val="0"/>
                <w:sz w:val="24"/>
                <w:szCs w:val="24"/>
                <w:lang w:val="en-US" w:eastAsia="zh-CN" w:bidi="ar"/>
              </w:rPr>
              <w:t>324.85</w:t>
            </w:r>
            <w:r>
              <w:rPr>
                <w:rFonts w:hint="eastAsia" w:ascii="宋体" w:hAnsi="宋体" w:eastAsia="宋体" w:cs="宋体"/>
                <w:color w:val="auto"/>
                <w:kern w:val="0"/>
                <w:sz w:val="24"/>
                <w:szCs w:val="24"/>
                <w:lang w:bidi="ar"/>
              </w:rPr>
              <w:t>m</w:t>
            </w:r>
            <w:r>
              <w:rPr>
                <w:rFonts w:hint="eastAsia" w:ascii="宋体" w:hAnsi="宋体" w:eastAsia="宋体" w:cs="宋体"/>
                <w:color w:val="auto"/>
                <w:kern w:val="0"/>
                <w:sz w:val="24"/>
                <w:szCs w:val="24"/>
                <w:vertAlign w:val="superscript"/>
                <w:lang w:bidi="ar"/>
              </w:rPr>
              <w:t>3</w:t>
            </w:r>
            <w:r>
              <w:rPr>
                <w:rFonts w:hint="eastAsia" w:ascii="宋体" w:hAnsi="宋体" w:eastAsia="宋体" w:cs="宋体"/>
                <w:color w:val="auto"/>
                <w:kern w:val="0"/>
                <w:sz w:val="24"/>
                <w:szCs w:val="24"/>
                <w:lang w:bidi="ar"/>
              </w:rPr>
              <w:t>/a。</w:t>
            </w:r>
          </w:p>
          <w:p>
            <w:pPr>
              <w:pStyle w:val="28"/>
              <w:numPr>
                <w:ilvl w:val="0"/>
                <w:numId w:val="8"/>
              </w:numPr>
              <w:ind w:left="0"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浆洗房用水</w:t>
            </w:r>
          </w:p>
          <w:p>
            <w:pPr>
              <w:pStyle w:val="3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根据业主提供资料，项目洗衣用水量约每天0.5m³，</w:t>
            </w:r>
            <w:r>
              <w:rPr>
                <w:rFonts w:hint="eastAsia" w:ascii="宋体" w:hAnsi="宋体" w:eastAsia="宋体" w:cs="宋体"/>
                <w:color w:val="auto"/>
                <w:sz w:val="24"/>
                <w:szCs w:val="24"/>
                <w:lang w:val="en-US"/>
              </w:rPr>
              <w:t>产污系数按0.</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en-US"/>
              </w:rPr>
              <w:t>计</w:t>
            </w:r>
            <w:r>
              <w:rPr>
                <w:rFonts w:hint="eastAsia" w:ascii="宋体" w:hAnsi="宋体" w:eastAsia="宋体" w:cs="宋体"/>
                <w:color w:val="auto"/>
                <w:sz w:val="24"/>
                <w:szCs w:val="24"/>
                <w:lang w:val="en-US" w:eastAsia="zh-CN"/>
              </w:rPr>
              <w:t>，废水量为0.4m³/d，146m³/a。</w:t>
            </w:r>
          </w:p>
          <w:p>
            <w:pPr>
              <w:spacing w:line="360" w:lineRule="auto"/>
              <w:ind w:firstLine="560"/>
              <w:rPr>
                <w:rFonts w:hint="eastAsia" w:ascii="宋体" w:hAnsi="宋体" w:eastAsia="宋体" w:cs="宋体"/>
                <w:color w:val="auto"/>
                <w:sz w:val="24"/>
                <w:szCs w:val="24"/>
                <w:lang w:val="en-US"/>
              </w:rPr>
            </w:pPr>
            <w:r>
              <w:rPr>
                <w:rFonts w:hint="eastAsia" w:ascii="宋体" w:hAnsi="宋体" w:eastAsia="宋体" w:cs="宋体"/>
                <w:color w:val="auto"/>
                <w:sz w:val="24"/>
                <w:szCs w:val="24"/>
              </w:rPr>
              <w:t>综上，本项目废水产生总量为</w:t>
            </w:r>
            <w:r>
              <w:rPr>
                <w:rFonts w:hint="eastAsia" w:ascii="宋体" w:hAnsi="宋体" w:eastAsia="宋体" w:cs="宋体"/>
                <w:color w:val="auto"/>
                <w:sz w:val="24"/>
                <w:szCs w:val="24"/>
                <w:lang w:val="en-US" w:eastAsia="zh-CN"/>
              </w:rPr>
              <w:t>7.602</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/d，277</w:t>
            </w:r>
            <w:r>
              <w:rPr>
                <w:rFonts w:hint="eastAsia" w:ascii="宋体" w:hAnsi="宋体" w:eastAsia="宋体" w:cs="宋体"/>
                <w:color w:val="auto"/>
                <w:sz w:val="24"/>
                <w:szCs w:val="24"/>
                <w:lang w:val="en-US" w:eastAsia="zh-CN"/>
              </w:rPr>
              <w:t>4.73</w:t>
            </w:r>
            <w:r>
              <w:rPr>
                <w:rFonts w:hint="eastAsia" w:ascii="宋体" w:hAnsi="宋体" w:eastAsia="宋体" w:cs="宋体"/>
                <w:color w:val="auto"/>
                <w:sz w:val="24"/>
                <w:szCs w:val="24"/>
                <w:lang w:eastAsia="zh-CN"/>
              </w:rPr>
              <w:t>m³</w:t>
            </w:r>
            <w:r>
              <w:rPr>
                <w:rFonts w:hint="eastAsia" w:ascii="宋体" w:hAnsi="宋体" w:eastAsia="宋体" w:cs="宋体"/>
                <w:color w:val="auto"/>
                <w:sz w:val="24"/>
                <w:szCs w:val="24"/>
              </w:rPr>
              <w:t>/a，</w:t>
            </w:r>
            <w:r>
              <w:rPr>
                <w:rFonts w:hint="eastAsia" w:ascii="宋体" w:hAnsi="宋体" w:eastAsia="宋体" w:cs="宋体"/>
                <w:color w:val="auto"/>
                <w:sz w:val="24"/>
                <w:szCs w:val="24"/>
                <w:lang w:eastAsia="zh-CN"/>
              </w:rPr>
              <w:t>废水</w:t>
            </w:r>
            <w:r>
              <w:rPr>
                <w:rFonts w:hint="eastAsia" w:ascii="宋体" w:hAnsi="宋体" w:eastAsia="宋体" w:cs="宋体"/>
                <w:color w:val="auto"/>
                <w:sz w:val="24"/>
                <w:szCs w:val="24"/>
              </w:rPr>
              <w:t>经化粪池预处理后进入污水处理站处理，处理达标后</w:t>
            </w:r>
            <w:r>
              <w:rPr>
                <w:rFonts w:hint="eastAsia" w:ascii="宋体" w:hAnsi="宋体" w:eastAsia="宋体" w:cs="宋体"/>
                <w:color w:val="auto"/>
                <w:sz w:val="24"/>
                <w:szCs w:val="24"/>
                <w:lang w:val="en-US" w:eastAsia="zh-CN"/>
              </w:rPr>
              <w:t>排入市政污水管网。</w:t>
            </w:r>
          </w:p>
          <w:p>
            <w:pPr>
              <w:ind w:firstLine="630" w:firstLineChars="300"/>
              <w:jc w:val="center"/>
              <w:rPr>
                <w:rFonts w:hint="eastAsia" w:ascii="黑体" w:hAnsi="黑体" w:eastAsia="黑体" w:cs="黑体"/>
                <w:bCs/>
                <w:color w:val="auto"/>
                <w:sz w:val="21"/>
                <w:szCs w:val="21"/>
              </w:rPr>
            </w:pPr>
            <w:r>
              <w:rPr>
                <w:rFonts w:hint="eastAsia" w:ascii="黑体" w:hAnsi="黑体" w:eastAsia="黑体" w:cs="黑体"/>
                <w:bCs/>
                <w:color w:val="auto"/>
                <w:sz w:val="21"/>
                <w:szCs w:val="21"/>
              </w:rPr>
              <w:t>表4-2  本项目废水产生、排放、治理情况一览表</w:t>
            </w:r>
          </w:p>
          <w:tbl>
            <w:tblPr>
              <w:tblStyle w:val="26"/>
              <w:tblW w:w="7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604"/>
              <w:gridCol w:w="1890"/>
              <w:gridCol w:w="166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7"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废水来源</w:t>
                  </w:r>
                </w:p>
              </w:tc>
              <w:tc>
                <w:tcPr>
                  <w:tcW w:w="1604"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产生量</w:t>
                  </w:r>
                </w:p>
              </w:tc>
              <w:tc>
                <w:tcPr>
                  <w:tcW w:w="1890"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预处理措施</w:t>
                  </w:r>
                </w:p>
              </w:tc>
              <w:tc>
                <w:tcPr>
                  <w:tcW w:w="1660" w:type="dxa"/>
                  <w:vAlign w:val="center"/>
                </w:tcPr>
                <w:p>
                  <w:pPr>
                    <w:adjustRightInd w:val="0"/>
                    <w:snapToGrid w:val="0"/>
                    <w:spacing w:line="240" w:lineRule="auto"/>
                    <w:ind w:firstLine="540" w:firstLineChars="300"/>
                    <w:jc w:val="center"/>
                    <w:rPr>
                      <w:rFonts w:hint="eastAsia" w:ascii="宋体" w:hAnsi="宋体" w:eastAsia="宋体" w:cs="宋体"/>
                      <w:color w:val="auto"/>
                      <w:sz w:val="18"/>
                      <w:szCs w:val="18"/>
                    </w:rPr>
                  </w:pPr>
                  <w:r>
                    <w:rPr>
                      <w:rFonts w:hint="eastAsia" w:ascii="宋体" w:hAnsi="宋体" w:eastAsia="宋体" w:cs="宋体"/>
                      <w:color w:val="auto"/>
                      <w:sz w:val="18"/>
                      <w:szCs w:val="18"/>
                    </w:rPr>
                    <w:t>处置措施</w:t>
                  </w:r>
                </w:p>
              </w:tc>
              <w:tc>
                <w:tcPr>
                  <w:tcW w:w="1150"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7"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门诊废水</w:t>
                  </w:r>
                </w:p>
              </w:tc>
              <w:tc>
                <w:tcPr>
                  <w:tcW w:w="1604"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1.2</w:t>
                  </w:r>
                  <w:r>
                    <w:rPr>
                      <w:rFonts w:hint="eastAsia" w:ascii="宋体" w:hAnsi="宋体" w:eastAsia="宋体" w:cs="宋体"/>
                      <w:color w:val="auto"/>
                      <w:sz w:val="18"/>
                      <w:szCs w:val="18"/>
                      <w:lang w:eastAsia="zh-CN"/>
                    </w:rPr>
                    <w:t>m³</w:t>
                  </w:r>
                  <w:r>
                    <w:rPr>
                      <w:rFonts w:hint="eastAsia" w:ascii="宋体" w:hAnsi="宋体" w:eastAsia="宋体" w:cs="宋体"/>
                      <w:color w:val="auto"/>
                      <w:sz w:val="18"/>
                      <w:szCs w:val="18"/>
                    </w:rPr>
                    <w:t>/d，</w:t>
                  </w:r>
                  <w:r>
                    <w:rPr>
                      <w:rFonts w:hint="eastAsia" w:ascii="宋体" w:hAnsi="宋体" w:eastAsia="宋体" w:cs="宋体"/>
                      <w:color w:val="auto"/>
                      <w:sz w:val="18"/>
                      <w:szCs w:val="18"/>
                      <w:lang w:val="en-US" w:eastAsia="zh-CN"/>
                    </w:rPr>
                    <w:t>438</w:t>
                  </w:r>
                  <w:r>
                    <w:rPr>
                      <w:rFonts w:hint="eastAsia" w:ascii="宋体" w:hAnsi="宋体" w:eastAsia="宋体" w:cs="宋体"/>
                      <w:color w:val="auto"/>
                      <w:sz w:val="18"/>
                      <w:szCs w:val="18"/>
                      <w:lang w:eastAsia="zh-CN"/>
                    </w:rPr>
                    <w:t>m³</w:t>
                  </w:r>
                  <w:r>
                    <w:rPr>
                      <w:rFonts w:hint="eastAsia" w:ascii="宋体" w:hAnsi="宋体" w:eastAsia="宋体" w:cs="宋体"/>
                      <w:color w:val="auto"/>
                      <w:sz w:val="18"/>
                      <w:szCs w:val="18"/>
                    </w:rPr>
                    <w:t>/a。</w:t>
                  </w:r>
                </w:p>
              </w:tc>
              <w:tc>
                <w:tcPr>
                  <w:tcW w:w="1890" w:type="dxa"/>
                  <w:vMerge w:val="restart"/>
                  <w:vAlign w:val="center"/>
                </w:tcPr>
                <w:p>
                  <w:pPr>
                    <w:adjustRightInd w:val="0"/>
                    <w:snapToGrid w:val="0"/>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lang w:bidi="ar"/>
                    </w:rPr>
                    <w:t>进入</w:t>
                  </w:r>
                  <w:r>
                    <w:rPr>
                      <w:rFonts w:hint="eastAsia" w:ascii="宋体" w:hAnsi="宋体" w:cs="宋体"/>
                      <w:color w:val="auto"/>
                      <w:sz w:val="18"/>
                      <w:szCs w:val="18"/>
                      <w:lang w:val="en-US" w:eastAsia="zh-CN" w:bidi="ar"/>
                    </w:rPr>
                    <w:t>1#</w:t>
                  </w:r>
                  <w:r>
                    <w:rPr>
                      <w:rFonts w:hint="eastAsia" w:ascii="宋体" w:hAnsi="宋体" w:eastAsia="宋体" w:cs="宋体"/>
                      <w:color w:val="auto"/>
                      <w:sz w:val="18"/>
                      <w:szCs w:val="18"/>
                      <w:lang w:bidi="ar"/>
                    </w:rPr>
                    <w:t>化粪池</w:t>
                  </w:r>
                </w:p>
              </w:tc>
              <w:tc>
                <w:tcPr>
                  <w:tcW w:w="1660" w:type="dxa"/>
                  <w:vMerge w:val="restart"/>
                  <w:vAlign w:val="center"/>
                </w:tcPr>
                <w:p>
                  <w:pPr>
                    <w:adjustRightInd w:val="0"/>
                    <w:snapToGrid w:val="0"/>
                    <w:spacing w:line="240" w:lineRule="auto"/>
                    <w:rPr>
                      <w:rFonts w:hint="eastAsia" w:ascii="宋体" w:hAnsi="宋体" w:eastAsia="宋体" w:cs="宋体"/>
                      <w:color w:val="auto"/>
                      <w:sz w:val="18"/>
                      <w:szCs w:val="18"/>
                    </w:rPr>
                  </w:pPr>
                  <w:r>
                    <w:rPr>
                      <w:rFonts w:hint="eastAsia" w:ascii="宋体" w:hAnsi="宋体" w:eastAsia="宋体" w:cs="宋体"/>
                      <w:bCs/>
                      <w:color w:val="auto"/>
                      <w:sz w:val="18"/>
                      <w:szCs w:val="18"/>
                      <w:lang w:val="en-US" w:eastAsia="zh-CN"/>
                    </w:rPr>
                    <w:t>采用AO生物处理+臭氧</w:t>
                  </w:r>
                  <w:r>
                    <w:rPr>
                      <w:rFonts w:hint="eastAsia" w:ascii="宋体" w:hAnsi="宋体" w:eastAsia="宋体" w:cs="宋体"/>
                      <w:color w:val="auto"/>
                      <w:sz w:val="18"/>
                      <w:szCs w:val="18"/>
                    </w:rPr>
                    <w:t>消毒工艺</w:t>
                  </w:r>
                  <w:r>
                    <w:rPr>
                      <w:rFonts w:hint="eastAsia" w:ascii="宋体" w:hAnsi="宋体" w:eastAsia="宋体" w:cs="宋体"/>
                      <w:color w:val="auto"/>
                      <w:sz w:val="18"/>
                      <w:szCs w:val="18"/>
                      <w:lang w:eastAsia="zh-CN"/>
                    </w:rPr>
                    <w:t>，</w:t>
                  </w:r>
                  <w:r>
                    <w:rPr>
                      <w:rFonts w:hint="eastAsia" w:ascii="宋体" w:hAnsi="宋体" w:eastAsia="宋体" w:cs="宋体"/>
                      <w:color w:val="auto"/>
                      <w:kern w:val="0"/>
                      <w:sz w:val="18"/>
                      <w:szCs w:val="18"/>
                      <w:lang w:bidi="ar"/>
                    </w:rPr>
                    <w:t>处理规模为</w:t>
                  </w:r>
                  <w:r>
                    <w:rPr>
                      <w:rFonts w:hint="eastAsia" w:ascii="宋体" w:hAnsi="宋体" w:eastAsia="宋体" w:cs="宋体"/>
                      <w:color w:val="auto"/>
                      <w:sz w:val="18"/>
                      <w:szCs w:val="18"/>
                      <w:lang w:bidi="ar"/>
                    </w:rPr>
                    <w:t>10m</w:t>
                  </w:r>
                  <w:r>
                    <w:rPr>
                      <w:rFonts w:hint="eastAsia" w:ascii="宋体" w:hAnsi="宋体" w:eastAsia="宋体" w:cs="宋体"/>
                      <w:color w:val="auto"/>
                      <w:sz w:val="18"/>
                      <w:szCs w:val="18"/>
                      <w:vertAlign w:val="superscript"/>
                      <w:lang w:bidi="ar"/>
                    </w:rPr>
                    <w:t>3</w:t>
                  </w:r>
                  <w:r>
                    <w:rPr>
                      <w:rFonts w:hint="eastAsia" w:ascii="宋体" w:hAnsi="宋体" w:eastAsia="宋体" w:cs="宋体"/>
                      <w:color w:val="auto"/>
                      <w:sz w:val="18"/>
                      <w:szCs w:val="18"/>
                      <w:lang w:bidi="ar"/>
                    </w:rPr>
                    <w:t>/d</w:t>
                  </w:r>
                </w:p>
              </w:tc>
              <w:tc>
                <w:tcPr>
                  <w:tcW w:w="1150" w:type="dxa"/>
                  <w:vMerge w:val="restart"/>
                  <w:vAlign w:val="center"/>
                </w:tcPr>
                <w:p>
                  <w:pPr>
                    <w:adjustRightInd w:val="0"/>
                    <w:snapToGrid w:val="0"/>
                    <w:spacing w:line="240" w:lineRule="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通过市政管网排入勐海县污水处理厂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7"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住院病房废水</w:t>
                  </w:r>
                </w:p>
              </w:tc>
              <w:tc>
                <w:tcPr>
                  <w:tcW w:w="1604"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2.64</w:t>
                  </w:r>
                  <w:r>
                    <w:rPr>
                      <w:rFonts w:hint="eastAsia" w:ascii="宋体" w:hAnsi="宋体" w:eastAsia="宋体" w:cs="宋体"/>
                      <w:color w:val="auto"/>
                      <w:sz w:val="18"/>
                      <w:szCs w:val="18"/>
                      <w:lang w:eastAsia="zh-CN"/>
                    </w:rPr>
                    <w:t>m³</w:t>
                  </w:r>
                  <w:r>
                    <w:rPr>
                      <w:rFonts w:hint="eastAsia" w:ascii="宋体" w:hAnsi="宋体" w:eastAsia="宋体" w:cs="宋体"/>
                      <w:color w:val="auto"/>
                      <w:sz w:val="18"/>
                      <w:szCs w:val="18"/>
                    </w:rPr>
                    <w:t>/d，</w:t>
                  </w:r>
                  <w:r>
                    <w:rPr>
                      <w:rFonts w:hint="eastAsia" w:ascii="宋体" w:hAnsi="宋体" w:eastAsia="宋体" w:cs="宋体"/>
                      <w:color w:val="auto"/>
                      <w:sz w:val="18"/>
                      <w:szCs w:val="18"/>
                      <w:lang w:val="en-US" w:eastAsia="zh-CN"/>
                    </w:rPr>
                    <w:t>963.6</w:t>
                  </w:r>
                  <w:r>
                    <w:rPr>
                      <w:rFonts w:hint="eastAsia" w:ascii="宋体" w:hAnsi="宋体" w:eastAsia="宋体" w:cs="宋体"/>
                      <w:color w:val="auto"/>
                      <w:sz w:val="18"/>
                      <w:szCs w:val="18"/>
                      <w:lang w:eastAsia="zh-CN"/>
                    </w:rPr>
                    <w:t>m³</w:t>
                  </w:r>
                  <w:r>
                    <w:rPr>
                      <w:rFonts w:hint="eastAsia" w:ascii="宋体" w:hAnsi="宋体" w:eastAsia="宋体" w:cs="宋体"/>
                      <w:color w:val="auto"/>
                      <w:sz w:val="18"/>
                      <w:szCs w:val="18"/>
                    </w:rPr>
                    <w:t>/a</w:t>
                  </w:r>
                </w:p>
              </w:tc>
              <w:tc>
                <w:tcPr>
                  <w:tcW w:w="189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c>
                <w:tcPr>
                  <w:tcW w:w="1660" w:type="dxa"/>
                  <w:vMerge w:val="continue"/>
                  <w:vAlign w:val="center"/>
                </w:tcPr>
                <w:p>
                  <w:pPr>
                    <w:adjustRightInd w:val="0"/>
                    <w:snapToGrid w:val="0"/>
                    <w:spacing w:line="240" w:lineRule="auto"/>
                    <w:rPr>
                      <w:rFonts w:hint="eastAsia" w:ascii="宋体" w:hAnsi="宋体" w:eastAsia="宋体" w:cs="宋体"/>
                      <w:color w:val="auto"/>
                      <w:sz w:val="18"/>
                      <w:szCs w:val="18"/>
                    </w:rPr>
                  </w:pPr>
                </w:p>
              </w:tc>
              <w:tc>
                <w:tcPr>
                  <w:tcW w:w="115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7"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手术废水</w:t>
                  </w:r>
                </w:p>
              </w:tc>
              <w:tc>
                <w:tcPr>
                  <w:tcW w:w="1604"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/d，</w:t>
                  </w:r>
                  <w:r>
                    <w:rPr>
                      <w:rFonts w:hint="eastAsia" w:ascii="宋体" w:hAnsi="宋体" w:eastAsia="宋体" w:cs="宋体"/>
                      <w:color w:val="auto"/>
                      <w:sz w:val="18"/>
                      <w:szCs w:val="18"/>
                      <w:lang w:val="en-US" w:eastAsia="zh-CN"/>
                    </w:rPr>
                    <w:t>40.88</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/a</w:t>
                  </w:r>
                </w:p>
                <w:p>
                  <w:pPr>
                    <w:adjustRightInd w:val="0"/>
                    <w:snapToGrid w:val="0"/>
                    <w:spacing w:line="240" w:lineRule="auto"/>
                    <w:jc w:val="center"/>
                    <w:rPr>
                      <w:rFonts w:hint="eastAsia" w:ascii="宋体" w:hAnsi="宋体" w:eastAsia="宋体" w:cs="宋体"/>
                      <w:color w:val="auto"/>
                      <w:sz w:val="18"/>
                      <w:szCs w:val="18"/>
                    </w:rPr>
                  </w:pPr>
                </w:p>
              </w:tc>
              <w:tc>
                <w:tcPr>
                  <w:tcW w:w="189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c>
                <w:tcPr>
                  <w:tcW w:w="1660" w:type="dxa"/>
                  <w:vMerge w:val="continue"/>
                  <w:vAlign w:val="center"/>
                </w:tcPr>
                <w:p>
                  <w:pPr>
                    <w:adjustRightInd w:val="0"/>
                    <w:snapToGrid w:val="0"/>
                    <w:spacing w:line="240" w:lineRule="auto"/>
                    <w:rPr>
                      <w:rFonts w:hint="eastAsia" w:ascii="宋体" w:hAnsi="宋体" w:eastAsia="宋体" w:cs="宋体"/>
                      <w:color w:val="auto"/>
                      <w:sz w:val="18"/>
                      <w:szCs w:val="18"/>
                    </w:rPr>
                  </w:pPr>
                </w:p>
              </w:tc>
              <w:tc>
                <w:tcPr>
                  <w:tcW w:w="115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7"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煎药机清洗废水</w:t>
                  </w:r>
                </w:p>
              </w:tc>
              <w:tc>
                <w:tcPr>
                  <w:tcW w:w="1604"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0.08</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/d，</w:t>
                  </w:r>
                  <w:r>
                    <w:rPr>
                      <w:rFonts w:hint="eastAsia" w:ascii="宋体" w:hAnsi="宋体" w:eastAsia="宋体" w:cs="宋体"/>
                      <w:color w:val="auto"/>
                      <w:sz w:val="18"/>
                      <w:szCs w:val="18"/>
                      <w:lang w:val="en-US" w:eastAsia="zh-CN"/>
                    </w:rPr>
                    <w:t>29.2</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/a。</w:t>
                  </w:r>
                </w:p>
                <w:p>
                  <w:pPr>
                    <w:adjustRightInd w:val="0"/>
                    <w:snapToGrid w:val="0"/>
                    <w:spacing w:line="240" w:lineRule="auto"/>
                    <w:jc w:val="center"/>
                    <w:rPr>
                      <w:rFonts w:hint="eastAsia" w:ascii="宋体" w:hAnsi="宋体" w:eastAsia="宋体" w:cs="宋体"/>
                      <w:color w:val="auto"/>
                      <w:sz w:val="18"/>
                      <w:szCs w:val="18"/>
                    </w:rPr>
                  </w:pPr>
                </w:p>
              </w:tc>
              <w:tc>
                <w:tcPr>
                  <w:tcW w:w="189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c>
                <w:tcPr>
                  <w:tcW w:w="1660" w:type="dxa"/>
                  <w:vMerge w:val="continue"/>
                  <w:vAlign w:val="center"/>
                </w:tcPr>
                <w:p>
                  <w:pPr>
                    <w:adjustRightInd w:val="0"/>
                    <w:snapToGrid w:val="0"/>
                    <w:spacing w:line="240" w:lineRule="auto"/>
                    <w:rPr>
                      <w:rFonts w:hint="eastAsia" w:ascii="宋体" w:hAnsi="宋体" w:eastAsia="宋体" w:cs="宋体"/>
                      <w:color w:val="auto"/>
                      <w:sz w:val="18"/>
                      <w:szCs w:val="18"/>
                    </w:rPr>
                  </w:pPr>
                </w:p>
              </w:tc>
              <w:tc>
                <w:tcPr>
                  <w:tcW w:w="115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7"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熏蒸废水</w:t>
                  </w:r>
                </w:p>
              </w:tc>
              <w:tc>
                <w:tcPr>
                  <w:tcW w:w="1604"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0.6m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/d，</w:t>
                  </w:r>
                  <w:r>
                    <w:rPr>
                      <w:rFonts w:hint="eastAsia" w:ascii="宋体" w:hAnsi="宋体" w:eastAsia="宋体" w:cs="宋体"/>
                      <w:color w:val="auto"/>
                      <w:sz w:val="18"/>
                      <w:szCs w:val="18"/>
                      <w:lang w:val="en-US" w:eastAsia="zh-CN"/>
                    </w:rPr>
                    <w:t>219</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/a</w:t>
                  </w:r>
                </w:p>
              </w:tc>
              <w:tc>
                <w:tcPr>
                  <w:tcW w:w="189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c>
                <w:tcPr>
                  <w:tcW w:w="1660" w:type="dxa"/>
                  <w:vMerge w:val="continue"/>
                  <w:vAlign w:val="center"/>
                </w:tcPr>
                <w:p>
                  <w:pPr>
                    <w:adjustRightInd w:val="0"/>
                    <w:snapToGrid w:val="0"/>
                    <w:spacing w:line="240" w:lineRule="auto"/>
                    <w:rPr>
                      <w:rFonts w:hint="eastAsia" w:ascii="宋体" w:hAnsi="宋体" w:eastAsia="宋体" w:cs="宋体"/>
                      <w:color w:val="auto"/>
                      <w:sz w:val="18"/>
                      <w:szCs w:val="18"/>
                    </w:rPr>
                  </w:pPr>
                </w:p>
              </w:tc>
              <w:tc>
                <w:tcPr>
                  <w:tcW w:w="115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7"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地面清洁废水</w:t>
                  </w:r>
                </w:p>
              </w:tc>
              <w:tc>
                <w:tcPr>
                  <w:tcW w:w="1604"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0.89</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/d，</w:t>
                  </w:r>
                  <w:r>
                    <w:rPr>
                      <w:rFonts w:hint="eastAsia" w:ascii="宋体" w:hAnsi="宋体" w:eastAsia="宋体" w:cs="宋体"/>
                      <w:color w:val="auto"/>
                      <w:sz w:val="18"/>
                      <w:szCs w:val="18"/>
                      <w:lang w:val="en-US" w:eastAsia="zh-CN"/>
                    </w:rPr>
                    <w:t>324.85</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/a</w:t>
                  </w:r>
                </w:p>
              </w:tc>
              <w:tc>
                <w:tcPr>
                  <w:tcW w:w="1890" w:type="dxa"/>
                  <w:vMerge w:val="continue"/>
                  <w:vAlign w:val="center"/>
                </w:tcPr>
                <w:p>
                  <w:pPr>
                    <w:adjustRightInd w:val="0"/>
                    <w:snapToGrid w:val="0"/>
                    <w:spacing w:line="240" w:lineRule="auto"/>
                    <w:rPr>
                      <w:rFonts w:hint="eastAsia" w:ascii="宋体" w:hAnsi="宋体" w:eastAsia="宋体" w:cs="宋体"/>
                      <w:color w:val="auto"/>
                      <w:sz w:val="18"/>
                      <w:szCs w:val="18"/>
                    </w:rPr>
                  </w:pPr>
                </w:p>
              </w:tc>
              <w:tc>
                <w:tcPr>
                  <w:tcW w:w="1660" w:type="dxa"/>
                  <w:vMerge w:val="continue"/>
                  <w:vAlign w:val="center"/>
                </w:tcPr>
                <w:p>
                  <w:pPr>
                    <w:adjustRightInd w:val="0"/>
                    <w:snapToGrid w:val="0"/>
                    <w:spacing w:line="240" w:lineRule="auto"/>
                    <w:ind w:firstLine="540" w:firstLineChars="300"/>
                    <w:jc w:val="center"/>
                    <w:rPr>
                      <w:rFonts w:hint="eastAsia" w:ascii="宋体" w:hAnsi="宋体" w:eastAsia="宋体" w:cs="宋体"/>
                      <w:color w:val="auto"/>
                      <w:sz w:val="18"/>
                      <w:szCs w:val="18"/>
                    </w:rPr>
                  </w:pPr>
                </w:p>
              </w:tc>
              <w:tc>
                <w:tcPr>
                  <w:tcW w:w="115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7"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检验废水</w:t>
                  </w:r>
                </w:p>
              </w:tc>
              <w:tc>
                <w:tcPr>
                  <w:tcW w:w="1604"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0.</w:t>
                  </w:r>
                  <w:r>
                    <w:rPr>
                      <w:rFonts w:hint="eastAsia" w:ascii="宋体" w:hAnsi="宋体" w:eastAsia="宋体" w:cs="宋体"/>
                      <w:color w:val="auto"/>
                      <w:sz w:val="18"/>
                      <w:szCs w:val="18"/>
                      <w:lang w:val="en-US" w:eastAsia="zh-CN"/>
                    </w:rPr>
                    <w:t>08</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/d、</w:t>
                  </w:r>
                  <w:r>
                    <w:rPr>
                      <w:rFonts w:hint="eastAsia" w:ascii="宋体" w:hAnsi="宋体" w:eastAsia="宋体" w:cs="宋体"/>
                      <w:color w:val="auto"/>
                      <w:sz w:val="18"/>
                      <w:szCs w:val="18"/>
                      <w:lang w:val="en-US" w:eastAsia="zh-CN"/>
                    </w:rPr>
                    <w:t>29.2</w:t>
                  </w:r>
                  <w:r>
                    <w:rPr>
                      <w:rFonts w:hint="eastAsia" w:ascii="宋体" w:hAnsi="宋体" w:eastAsia="宋体" w:cs="宋体"/>
                      <w:color w:val="auto"/>
                      <w:sz w:val="18"/>
                      <w:szCs w:val="18"/>
                    </w:rPr>
                    <w:t>m</w:t>
                  </w:r>
                  <w:r>
                    <w:rPr>
                      <w:rFonts w:hint="eastAsia" w:ascii="宋体" w:hAnsi="宋体" w:eastAsia="宋体" w:cs="宋体"/>
                      <w:color w:val="auto"/>
                      <w:sz w:val="18"/>
                      <w:szCs w:val="18"/>
                      <w:vertAlign w:val="superscript"/>
                    </w:rPr>
                    <w:t>3</w:t>
                  </w:r>
                  <w:r>
                    <w:rPr>
                      <w:rFonts w:hint="eastAsia" w:ascii="宋体" w:hAnsi="宋体" w:eastAsia="宋体" w:cs="宋体"/>
                      <w:color w:val="auto"/>
                      <w:sz w:val="18"/>
                      <w:szCs w:val="18"/>
                    </w:rPr>
                    <w:t>/a</w:t>
                  </w:r>
                </w:p>
              </w:tc>
              <w:tc>
                <w:tcPr>
                  <w:tcW w:w="1890" w:type="dxa"/>
                  <w:vAlign w:val="center"/>
                </w:tcPr>
                <w:p>
                  <w:pPr>
                    <w:adjustRightInd w:val="0"/>
                    <w:snapToGrid w:val="0"/>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lang w:bidi="ar"/>
                    </w:rPr>
                    <w:t>1个0.</w:t>
                  </w:r>
                  <w:r>
                    <w:rPr>
                      <w:rFonts w:hint="eastAsia" w:ascii="宋体" w:hAnsi="宋体" w:eastAsia="宋体" w:cs="宋体"/>
                      <w:color w:val="auto"/>
                      <w:sz w:val="18"/>
                      <w:szCs w:val="18"/>
                      <w:lang w:val="en-US" w:eastAsia="zh-CN" w:bidi="ar"/>
                    </w:rPr>
                    <w:t>1</w:t>
                  </w:r>
                  <w:r>
                    <w:rPr>
                      <w:rFonts w:hint="eastAsia" w:ascii="宋体" w:hAnsi="宋体" w:eastAsia="宋体" w:cs="宋体"/>
                      <w:color w:val="auto"/>
                      <w:sz w:val="18"/>
                      <w:szCs w:val="18"/>
                      <w:lang w:bidi="ar"/>
                    </w:rPr>
                    <w:t>m</w:t>
                  </w:r>
                  <w:r>
                    <w:rPr>
                      <w:rFonts w:hint="eastAsia" w:ascii="宋体" w:hAnsi="宋体" w:eastAsia="宋体" w:cs="宋体"/>
                      <w:color w:val="auto"/>
                      <w:sz w:val="18"/>
                      <w:szCs w:val="18"/>
                      <w:vertAlign w:val="superscript"/>
                      <w:lang w:bidi="ar"/>
                    </w:rPr>
                    <w:t>3</w:t>
                  </w:r>
                  <w:r>
                    <w:rPr>
                      <w:rFonts w:hint="eastAsia" w:ascii="宋体" w:hAnsi="宋体" w:eastAsia="宋体" w:cs="宋体"/>
                      <w:color w:val="auto"/>
                      <w:sz w:val="18"/>
                      <w:szCs w:val="18"/>
                      <w:lang w:bidi="ar"/>
                    </w:rPr>
                    <w:t>的中和桶，酸碱中和、加药消毒，进入</w:t>
                  </w:r>
                  <w:r>
                    <w:rPr>
                      <w:rFonts w:hint="eastAsia" w:ascii="宋体" w:hAnsi="宋体" w:cs="宋体"/>
                      <w:color w:val="auto"/>
                      <w:sz w:val="18"/>
                      <w:szCs w:val="18"/>
                      <w:lang w:val="en-US" w:eastAsia="zh-CN" w:bidi="ar"/>
                    </w:rPr>
                    <w:t>1#</w:t>
                  </w:r>
                  <w:r>
                    <w:rPr>
                      <w:rFonts w:hint="eastAsia" w:ascii="宋体" w:hAnsi="宋体" w:eastAsia="宋体" w:cs="宋体"/>
                      <w:color w:val="auto"/>
                      <w:sz w:val="18"/>
                      <w:szCs w:val="18"/>
                      <w:lang w:bidi="ar"/>
                    </w:rPr>
                    <w:t>化粪池</w:t>
                  </w:r>
                </w:p>
              </w:tc>
              <w:tc>
                <w:tcPr>
                  <w:tcW w:w="1660" w:type="dxa"/>
                  <w:vMerge w:val="continue"/>
                  <w:vAlign w:val="center"/>
                </w:tcPr>
                <w:p>
                  <w:pPr>
                    <w:adjustRightInd w:val="0"/>
                    <w:snapToGrid w:val="0"/>
                    <w:spacing w:line="240" w:lineRule="auto"/>
                    <w:ind w:firstLine="540" w:firstLineChars="300"/>
                    <w:jc w:val="center"/>
                    <w:rPr>
                      <w:rFonts w:hint="eastAsia" w:ascii="宋体" w:hAnsi="宋体" w:eastAsia="宋体" w:cs="宋体"/>
                      <w:color w:val="auto"/>
                      <w:sz w:val="18"/>
                      <w:szCs w:val="18"/>
                    </w:rPr>
                  </w:pPr>
                </w:p>
              </w:tc>
              <w:tc>
                <w:tcPr>
                  <w:tcW w:w="115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7" w:type="dxa"/>
                  <w:vAlign w:val="center"/>
                </w:tcPr>
                <w:p>
                  <w:pPr>
                    <w:adjustRightInd w:val="0"/>
                    <w:snapToGrid w:val="0"/>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浆洗废水</w:t>
                  </w:r>
                </w:p>
              </w:tc>
              <w:tc>
                <w:tcPr>
                  <w:tcW w:w="1604"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0.4m³/d，146m³/a</w:t>
                  </w:r>
                </w:p>
              </w:tc>
              <w:tc>
                <w:tcPr>
                  <w:tcW w:w="1890" w:type="dxa"/>
                  <w:vMerge w:val="restart"/>
                  <w:vAlign w:val="center"/>
                </w:tcPr>
                <w:p>
                  <w:pPr>
                    <w:adjustRightInd w:val="0"/>
                    <w:snapToGrid w:val="0"/>
                    <w:spacing w:line="240" w:lineRule="auto"/>
                    <w:rPr>
                      <w:rFonts w:hint="eastAsia" w:ascii="宋体" w:hAnsi="宋体" w:eastAsia="宋体" w:cs="宋体"/>
                      <w:color w:val="auto"/>
                      <w:sz w:val="18"/>
                      <w:szCs w:val="18"/>
                      <w:lang w:bidi="ar"/>
                    </w:rPr>
                  </w:pPr>
                  <w:r>
                    <w:rPr>
                      <w:rFonts w:hint="eastAsia" w:ascii="宋体" w:hAnsi="宋体" w:eastAsia="宋体" w:cs="宋体"/>
                      <w:color w:val="auto"/>
                      <w:sz w:val="18"/>
                      <w:szCs w:val="18"/>
                      <w:lang w:bidi="ar"/>
                    </w:rPr>
                    <w:t>进入</w:t>
                  </w:r>
                  <w:r>
                    <w:rPr>
                      <w:rFonts w:hint="eastAsia" w:ascii="宋体" w:hAnsi="宋体" w:cs="宋体"/>
                      <w:color w:val="auto"/>
                      <w:sz w:val="18"/>
                      <w:szCs w:val="18"/>
                      <w:lang w:val="en-US" w:eastAsia="zh-CN" w:bidi="ar"/>
                    </w:rPr>
                    <w:t>2#</w:t>
                  </w:r>
                  <w:r>
                    <w:rPr>
                      <w:rFonts w:hint="eastAsia" w:ascii="宋体" w:hAnsi="宋体" w:eastAsia="宋体" w:cs="宋体"/>
                      <w:color w:val="auto"/>
                      <w:sz w:val="18"/>
                      <w:szCs w:val="18"/>
                      <w:lang w:bidi="ar"/>
                    </w:rPr>
                    <w:t>化粪池</w:t>
                  </w:r>
                </w:p>
              </w:tc>
              <w:tc>
                <w:tcPr>
                  <w:tcW w:w="1660" w:type="dxa"/>
                  <w:vMerge w:val="continue"/>
                  <w:vAlign w:val="center"/>
                </w:tcPr>
                <w:p>
                  <w:pPr>
                    <w:adjustRightInd w:val="0"/>
                    <w:snapToGrid w:val="0"/>
                    <w:spacing w:line="240" w:lineRule="auto"/>
                    <w:ind w:firstLine="540" w:firstLineChars="300"/>
                    <w:jc w:val="center"/>
                    <w:rPr>
                      <w:rFonts w:hint="eastAsia" w:ascii="宋体" w:hAnsi="宋体" w:eastAsia="宋体" w:cs="宋体"/>
                      <w:color w:val="auto"/>
                      <w:sz w:val="18"/>
                      <w:szCs w:val="18"/>
                    </w:rPr>
                  </w:pPr>
                </w:p>
              </w:tc>
              <w:tc>
                <w:tcPr>
                  <w:tcW w:w="115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7"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医护职工生活污水</w:t>
                  </w:r>
                </w:p>
              </w:tc>
              <w:tc>
                <w:tcPr>
                  <w:tcW w:w="1604" w:type="dxa"/>
                  <w:vAlign w:val="center"/>
                </w:tcPr>
                <w:p>
                  <w:pPr>
                    <w:adjustRightInd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b w:val="0"/>
                      <w:bCs w:val="0"/>
                      <w:color w:val="auto"/>
                      <w:sz w:val="18"/>
                      <w:szCs w:val="18"/>
                      <w:lang w:val="en-US" w:eastAsia="zh-CN"/>
                    </w:rPr>
                    <w:t>1.6</w:t>
                  </w:r>
                  <w:r>
                    <w:rPr>
                      <w:rFonts w:hint="eastAsia" w:ascii="宋体" w:hAnsi="宋体" w:eastAsia="宋体" w:cs="宋体"/>
                      <w:b w:val="0"/>
                      <w:bCs w:val="0"/>
                      <w:color w:val="auto"/>
                      <w:sz w:val="18"/>
                      <w:szCs w:val="18"/>
                      <w:lang w:eastAsia="zh-CN"/>
                    </w:rPr>
                    <w:t>m³</w:t>
                  </w:r>
                  <w:r>
                    <w:rPr>
                      <w:rFonts w:hint="eastAsia" w:ascii="宋体" w:hAnsi="宋体" w:eastAsia="宋体" w:cs="宋体"/>
                      <w:b w:val="0"/>
                      <w:bCs w:val="0"/>
                      <w:color w:val="auto"/>
                      <w:sz w:val="18"/>
                      <w:szCs w:val="18"/>
                    </w:rPr>
                    <w:t>/d，</w:t>
                  </w:r>
                  <w:r>
                    <w:rPr>
                      <w:rFonts w:hint="eastAsia" w:ascii="宋体" w:hAnsi="宋体" w:eastAsia="宋体" w:cs="宋体"/>
                      <w:b w:val="0"/>
                      <w:bCs w:val="0"/>
                      <w:color w:val="auto"/>
                      <w:sz w:val="18"/>
                      <w:szCs w:val="18"/>
                      <w:lang w:val="en-US" w:eastAsia="zh-CN"/>
                    </w:rPr>
                    <w:t>584</w:t>
                  </w:r>
                  <w:r>
                    <w:rPr>
                      <w:rFonts w:hint="eastAsia" w:ascii="宋体" w:hAnsi="宋体" w:eastAsia="宋体" w:cs="宋体"/>
                      <w:b w:val="0"/>
                      <w:bCs w:val="0"/>
                      <w:color w:val="auto"/>
                      <w:sz w:val="18"/>
                      <w:szCs w:val="18"/>
                      <w:lang w:eastAsia="zh-CN"/>
                    </w:rPr>
                    <w:t>m³</w:t>
                  </w:r>
                  <w:r>
                    <w:rPr>
                      <w:rFonts w:hint="eastAsia" w:ascii="宋体" w:hAnsi="宋体" w:eastAsia="宋体" w:cs="宋体"/>
                      <w:b w:val="0"/>
                      <w:bCs w:val="0"/>
                      <w:color w:val="auto"/>
                      <w:sz w:val="18"/>
                      <w:szCs w:val="18"/>
                    </w:rPr>
                    <w:t>/a</w:t>
                  </w:r>
                </w:p>
              </w:tc>
              <w:tc>
                <w:tcPr>
                  <w:tcW w:w="1890" w:type="dxa"/>
                  <w:vMerge w:val="continue"/>
                  <w:vAlign w:val="center"/>
                </w:tcPr>
                <w:p>
                  <w:pPr>
                    <w:adjustRightInd w:val="0"/>
                    <w:snapToGrid w:val="0"/>
                    <w:spacing w:line="240" w:lineRule="auto"/>
                    <w:rPr>
                      <w:rFonts w:hint="eastAsia" w:ascii="宋体" w:hAnsi="宋体" w:eastAsia="宋体" w:cs="宋体"/>
                      <w:color w:val="auto"/>
                      <w:sz w:val="18"/>
                      <w:szCs w:val="18"/>
                    </w:rPr>
                  </w:pPr>
                </w:p>
              </w:tc>
              <w:tc>
                <w:tcPr>
                  <w:tcW w:w="1660" w:type="dxa"/>
                  <w:vMerge w:val="continue"/>
                  <w:vAlign w:val="center"/>
                </w:tcPr>
                <w:p>
                  <w:pPr>
                    <w:adjustRightInd w:val="0"/>
                    <w:snapToGrid w:val="0"/>
                    <w:spacing w:line="240" w:lineRule="auto"/>
                    <w:ind w:firstLine="480"/>
                    <w:rPr>
                      <w:rFonts w:hint="eastAsia" w:ascii="宋体" w:hAnsi="宋体" w:eastAsia="宋体" w:cs="宋体"/>
                      <w:color w:val="auto"/>
                      <w:sz w:val="18"/>
                      <w:szCs w:val="18"/>
                    </w:rPr>
                  </w:pPr>
                </w:p>
              </w:tc>
              <w:tc>
                <w:tcPr>
                  <w:tcW w:w="1150" w:type="dxa"/>
                  <w:vMerge w:val="continue"/>
                  <w:vAlign w:val="center"/>
                </w:tcPr>
                <w:p>
                  <w:pPr>
                    <w:adjustRightInd w:val="0"/>
                    <w:snapToGrid w:val="0"/>
                    <w:spacing w:line="240" w:lineRule="auto"/>
                    <w:jc w:val="center"/>
                    <w:rPr>
                      <w:rFonts w:hint="eastAsia" w:ascii="宋体" w:hAnsi="宋体" w:eastAsia="宋体" w:cs="宋体"/>
                      <w:color w:val="auto"/>
                      <w:sz w:val="18"/>
                      <w:szCs w:val="18"/>
                    </w:rPr>
                  </w:pPr>
                </w:p>
              </w:tc>
            </w:tr>
          </w:tbl>
          <w:p>
            <w:pPr>
              <w:spacing w:line="360" w:lineRule="auto"/>
              <w:ind w:firstLine="48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2.污水处理措施分析</w:t>
            </w:r>
          </w:p>
          <w:p>
            <w:pPr>
              <w:spacing w:line="360" w:lineRule="auto"/>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根据本项目实际运营情况，</w:t>
            </w:r>
            <w:r>
              <w:rPr>
                <w:rFonts w:hint="eastAsia" w:ascii="宋体" w:hAnsi="宋体" w:eastAsia="宋体" w:cs="宋体"/>
                <w:b w:val="0"/>
                <w:bCs w:val="0"/>
                <w:color w:val="auto"/>
                <w:sz w:val="24"/>
                <w:szCs w:val="24"/>
              </w:rPr>
              <w:t>医院污水处理工艺采用</w:t>
            </w:r>
            <w:r>
              <w:rPr>
                <w:rFonts w:hint="eastAsia" w:ascii="宋体" w:hAnsi="宋体" w:eastAsia="宋体" w:cs="宋体"/>
                <w:b w:val="0"/>
                <w:bCs w:val="0"/>
                <w:color w:val="auto"/>
                <w:sz w:val="24"/>
                <w:szCs w:val="24"/>
                <w:lang w:eastAsia="zh-CN"/>
              </w:rPr>
              <w:t>二级生化</w:t>
            </w:r>
            <w:r>
              <w:rPr>
                <w:rFonts w:hint="eastAsia" w:ascii="宋体" w:hAnsi="宋体" w:eastAsia="宋体" w:cs="宋体"/>
                <w:b w:val="0"/>
                <w:bCs w:val="0"/>
                <w:color w:val="auto"/>
                <w:sz w:val="24"/>
                <w:szCs w:val="24"/>
              </w:rPr>
              <w:t>处理</w:t>
            </w:r>
            <w:r>
              <w:rPr>
                <w:rFonts w:hint="eastAsia" w:ascii="宋体" w:hAnsi="宋体" w:eastAsia="宋体" w:cs="宋体"/>
                <w:b w:val="0"/>
                <w:bCs w:val="0"/>
                <w:color w:val="auto"/>
                <w:sz w:val="24"/>
                <w:szCs w:val="24"/>
                <w:lang w:eastAsia="zh-CN"/>
              </w:rPr>
              <w:t>工艺</w:t>
            </w:r>
            <w:r>
              <w:rPr>
                <w:rFonts w:hint="eastAsia" w:ascii="宋体" w:hAnsi="宋体" w:eastAsia="宋体" w:cs="宋体"/>
                <w:b w:val="0"/>
                <w:bCs w:val="0"/>
                <w:color w:val="auto"/>
                <w:sz w:val="24"/>
                <w:szCs w:val="24"/>
              </w:rPr>
              <w:t>+消毒工艺，污水处理工艺选用</w:t>
            </w:r>
            <w:r>
              <w:rPr>
                <w:rFonts w:hint="eastAsia" w:ascii="宋体" w:hAnsi="宋体" w:eastAsia="宋体" w:cs="宋体"/>
                <w:b w:val="0"/>
                <w:bCs w:val="0"/>
                <w:color w:val="auto"/>
                <w:sz w:val="24"/>
                <w:szCs w:val="24"/>
                <w:lang w:val="en-US" w:eastAsia="zh-CN"/>
              </w:rPr>
              <w:t>AO</w:t>
            </w:r>
            <w:r>
              <w:rPr>
                <w:rFonts w:hint="eastAsia" w:ascii="宋体" w:hAnsi="宋体" w:eastAsia="宋体" w:cs="宋体"/>
                <w:b w:val="0"/>
                <w:bCs w:val="0"/>
                <w:color w:val="auto"/>
                <w:sz w:val="24"/>
                <w:szCs w:val="24"/>
              </w:rPr>
              <w:t>生物接触氧化工艺，消毒技术使用</w:t>
            </w:r>
            <w:r>
              <w:rPr>
                <w:rFonts w:hint="eastAsia" w:ascii="宋体" w:hAnsi="宋体" w:eastAsia="宋体" w:cs="宋体"/>
                <w:b w:val="0"/>
                <w:bCs w:val="0"/>
                <w:color w:val="auto"/>
                <w:sz w:val="24"/>
                <w:szCs w:val="24"/>
                <w:lang w:val="en-US" w:eastAsia="zh-CN"/>
              </w:rPr>
              <w:t>臭氧消毒</w:t>
            </w:r>
            <w:r>
              <w:rPr>
                <w:rFonts w:hint="eastAsia" w:ascii="宋体" w:hAnsi="宋体" w:eastAsia="宋体" w:cs="宋体"/>
                <w:b w:val="0"/>
                <w:bCs w:val="0"/>
                <w:color w:val="auto"/>
                <w:sz w:val="24"/>
                <w:szCs w:val="24"/>
              </w:rPr>
              <w:t>工艺。根据</w:t>
            </w:r>
            <w:r>
              <w:rPr>
                <w:rFonts w:hint="eastAsia" w:ascii="宋体" w:hAnsi="宋体" w:eastAsia="宋体" w:cs="宋体"/>
                <w:b w:val="0"/>
                <w:bCs w:val="0"/>
                <w:color w:val="auto"/>
                <w:sz w:val="24"/>
                <w:szCs w:val="24"/>
                <w:lang w:val="en-US" w:eastAsia="zh-CN"/>
              </w:rPr>
              <w:t>建设单位核实</w:t>
            </w:r>
            <w:r>
              <w:rPr>
                <w:rFonts w:hint="eastAsia" w:ascii="宋体" w:hAnsi="宋体" w:eastAsia="宋体" w:cs="宋体"/>
                <w:b w:val="0"/>
                <w:bCs w:val="0"/>
                <w:color w:val="auto"/>
                <w:sz w:val="24"/>
                <w:szCs w:val="24"/>
              </w:rPr>
              <w:t>，污水处理</w:t>
            </w:r>
            <w:r>
              <w:rPr>
                <w:rFonts w:hint="eastAsia" w:ascii="宋体" w:hAnsi="宋体" w:eastAsia="宋体" w:cs="宋体"/>
                <w:b w:val="0"/>
                <w:bCs w:val="0"/>
                <w:color w:val="auto"/>
                <w:sz w:val="24"/>
                <w:szCs w:val="24"/>
                <w:lang w:eastAsia="zh-CN"/>
              </w:rPr>
              <w:t>设施</w:t>
            </w:r>
            <w:r>
              <w:rPr>
                <w:rFonts w:hint="eastAsia" w:ascii="宋体" w:hAnsi="宋体" w:eastAsia="宋体" w:cs="宋体"/>
                <w:b w:val="0"/>
                <w:bCs w:val="0"/>
                <w:color w:val="auto"/>
                <w:sz w:val="24"/>
                <w:szCs w:val="24"/>
              </w:rPr>
              <w:t>的处理规模为</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m</w:t>
            </w:r>
            <w:r>
              <w:rPr>
                <w:rFonts w:hint="eastAsia" w:ascii="宋体" w:hAnsi="宋体" w:eastAsia="宋体" w:cs="宋体"/>
                <w:b w:val="0"/>
                <w:bCs w:val="0"/>
                <w:color w:val="auto"/>
                <w:sz w:val="24"/>
                <w:szCs w:val="24"/>
                <w:vertAlign w:val="superscript"/>
              </w:rPr>
              <w:t>3</w:t>
            </w:r>
            <w:r>
              <w:rPr>
                <w:rFonts w:hint="eastAsia" w:ascii="宋体" w:hAnsi="宋体" w:eastAsia="宋体" w:cs="宋体"/>
                <w:b w:val="0"/>
                <w:bCs w:val="0"/>
                <w:color w:val="auto"/>
                <w:sz w:val="24"/>
                <w:szCs w:val="24"/>
              </w:rPr>
              <w:t>/d。</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一体化</w:t>
            </w:r>
            <w:r>
              <w:rPr>
                <w:rFonts w:hint="eastAsia" w:ascii="宋体" w:hAnsi="宋体" w:eastAsia="宋体" w:cs="宋体"/>
                <w:b w:val="0"/>
                <w:bCs w:val="0"/>
                <w:color w:val="auto"/>
                <w:sz w:val="24"/>
                <w:szCs w:val="24"/>
              </w:rPr>
              <w:t>污水处理装置集去除有机污染物及氨氮主要依赖于设备中的AO生物处理工艺。其中工作原理是在A级，由于污水有机物浓度很高，微生物处于缺气状态，此时微生物为兼性微生物，它们将</w:t>
            </w:r>
            <w:r>
              <w:rPr>
                <w:rFonts w:hint="eastAsia" w:ascii="宋体" w:hAnsi="宋体" w:eastAsia="宋体" w:cs="宋体"/>
                <w:b w:val="0"/>
                <w:bCs w:val="0"/>
                <w:color w:val="auto"/>
                <w:sz w:val="24"/>
                <w:szCs w:val="24"/>
                <w:lang w:val="en-US" w:eastAsia="zh-CN"/>
              </w:rPr>
              <w:t>污水</w:t>
            </w:r>
            <w:r>
              <w:rPr>
                <w:rFonts w:hint="eastAsia" w:ascii="宋体" w:hAnsi="宋体" w:eastAsia="宋体" w:cs="宋体"/>
                <w:b w:val="0"/>
                <w:bCs w:val="0"/>
                <w:color w:val="auto"/>
                <w:sz w:val="24"/>
                <w:szCs w:val="24"/>
              </w:rPr>
              <w:t>中的有机氮转化分解成NH-N</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同时利用有机物作为电子供体，将NO-N.NO-N转化成N。而且还利用部分有机碳源和NH-N合成新的细胞物质，所以A级池不仅具有一定的有机物去除功能，减轻后续好氧池的有机负荷，以利于</w:t>
            </w:r>
            <w:r>
              <w:rPr>
                <w:rFonts w:hint="eastAsia" w:ascii="宋体" w:hAnsi="宋体" w:eastAsia="宋体" w:cs="宋体"/>
                <w:b w:val="0"/>
                <w:bCs w:val="0"/>
                <w:color w:val="auto"/>
                <w:sz w:val="24"/>
                <w:szCs w:val="24"/>
                <w:lang w:eastAsia="zh-CN"/>
              </w:rPr>
              <w:t>硝</w:t>
            </w:r>
            <w:r>
              <w:rPr>
                <w:rFonts w:hint="eastAsia" w:ascii="宋体" w:hAnsi="宋体" w:eastAsia="宋体" w:cs="宋体"/>
                <w:b w:val="0"/>
                <w:bCs w:val="0"/>
                <w:color w:val="auto"/>
                <w:sz w:val="24"/>
                <w:szCs w:val="24"/>
              </w:rPr>
              <w:t>化作用的进行，而且依靠原水中存在的较高浓度有机物，完成反</w:t>
            </w:r>
            <w:r>
              <w:rPr>
                <w:rFonts w:hint="eastAsia" w:ascii="宋体" w:hAnsi="宋体" w:eastAsia="宋体" w:cs="宋体"/>
                <w:b w:val="0"/>
                <w:bCs w:val="0"/>
                <w:color w:val="auto"/>
                <w:sz w:val="24"/>
                <w:szCs w:val="24"/>
                <w:lang w:eastAsia="zh-CN"/>
              </w:rPr>
              <w:t>硝</w:t>
            </w:r>
            <w:r>
              <w:rPr>
                <w:rFonts w:hint="eastAsia" w:ascii="宋体" w:hAnsi="宋体" w:eastAsia="宋体" w:cs="宋体"/>
                <w:b w:val="0"/>
                <w:bCs w:val="0"/>
                <w:color w:val="auto"/>
                <w:sz w:val="24"/>
                <w:szCs w:val="24"/>
              </w:rPr>
              <w:t>化作用，最终消除氮的富营养化污染，在O级由于有机物浓度已大幅度降低，但仍有一定量的有机物及较高NH-N存在。为了使有机物得到进一步氧化分解，同时在碳化作用处于完成情况下</w:t>
            </w:r>
            <w:r>
              <w:rPr>
                <w:rFonts w:hint="eastAsia" w:ascii="宋体" w:hAnsi="宋体" w:eastAsia="宋体" w:cs="宋体"/>
                <w:b w:val="0"/>
                <w:bCs w:val="0"/>
                <w:color w:val="auto"/>
                <w:sz w:val="24"/>
                <w:szCs w:val="24"/>
                <w:lang w:eastAsia="zh-CN"/>
              </w:rPr>
              <w:t>硝</w:t>
            </w:r>
            <w:r>
              <w:rPr>
                <w:rFonts w:hint="eastAsia" w:ascii="宋体" w:hAnsi="宋体" w:eastAsia="宋体" w:cs="宋体"/>
                <w:b w:val="0"/>
                <w:bCs w:val="0"/>
                <w:color w:val="auto"/>
                <w:sz w:val="24"/>
                <w:szCs w:val="24"/>
              </w:rPr>
              <w:t>化作用能顺利进行，在O级设置有机负荷较低的好</w:t>
            </w:r>
            <w:r>
              <w:rPr>
                <w:rFonts w:hint="eastAsia" w:ascii="宋体" w:hAnsi="宋体" w:eastAsia="宋体" w:cs="宋体"/>
                <w:b w:val="0"/>
                <w:bCs w:val="0"/>
                <w:color w:val="auto"/>
                <w:sz w:val="24"/>
                <w:szCs w:val="24"/>
                <w:lang w:val="en-US" w:eastAsia="zh-CN"/>
              </w:rPr>
              <w:t>氧</w:t>
            </w:r>
            <w:r>
              <w:rPr>
                <w:rFonts w:hint="eastAsia" w:ascii="宋体" w:hAnsi="宋体" w:eastAsia="宋体" w:cs="宋体"/>
                <w:b w:val="0"/>
                <w:bCs w:val="0"/>
                <w:color w:val="auto"/>
                <w:sz w:val="24"/>
                <w:szCs w:val="24"/>
              </w:rPr>
              <w:t>生物接触氧化池，在O级池中主要存在好氧微生物及自氧型细菌（消化菌），其中好氧微生物将有机物分解成CO</w:t>
            </w:r>
            <w:r>
              <w:rPr>
                <w:rFonts w:hint="eastAsia" w:ascii="宋体" w:hAnsi="宋体" w:eastAsia="宋体" w:cs="宋体"/>
                <w:b w:val="0"/>
                <w:bCs w:val="0"/>
                <w:color w:val="auto"/>
                <w:sz w:val="24"/>
                <w:szCs w:val="24"/>
                <w:vertAlign w:val="subscript"/>
              </w:rPr>
              <w:t>2</w:t>
            </w:r>
            <w:r>
              <w:rPr>
                <w:rFonts w:hint="eastAsia" w:ascii="宋体" w:hAnsi="宋体" w:eastAsia="宋体" w:cs="宋体"/>
                <w:b w:val="0"/>
                <w:bCs w:val="0"/>
                <w:color w:val="auto"/>
                <w:sz w:val="24"/>
                <w:szCs w:val="24"/>
              </w:rPr>
              <w:t>和H</w:t>
            </w:r>
            <w:r>
              <w:rPr>
                <w:rFonts w:hint="eastAsia" w:ascii="宋体" w:hAnsi="宋体" w:eastAsia="宋体" w:cs="宋体"/>
                <w:b w:val="0"/>
                <w:bCs w:val="0"/>
                <w:color w:val="auto"/>
                <w:sz w:val="24"/>
                <w:szCs w:val="24"/>
                <w:vertAlign w:val="subscript"/>
              </w:rPr>
              <w:t>2</w:t>
            </w:r>
            <w:r>
              <w:rPr>
                <w:rFonts w:hint="eastAsia" w:ascii="宋体" w:hAnsi="宋体" w:eastAsia="宋体" w:cs="宋体"/>
                <w:b w:val="0"/>
                <w:bCs w:val="0"/>
                <w:color w:val="auto"/>
                <w:sz w:val="24"/>
                <w:szCs w:val="24"/>
              </w:rPr>
              <w:t>O，自氧型细菌（消化菌）利用有机物分解产生的无机碳或空气中的CO</w:t>
            </w:r>
            <w:r>
              <w:rPr>
                <w:rFonts w:hint="eastAsia" w:ascii="宋体" w:hAnsi="宋体" w:eastAsia="宋体" w:cs="宋体"/>
                <w:b w:val="0"/>
                <w:bCs w:val="0"/>
                <w:color w:val="auto"/>
                <w:sz w:val="24"/>
                <w:szCs w:val="24"/>
                <w:vertAlign w:val="subscript"/>
              </w:rPr>
              <w:t>2</w:t>
            </w:r>
            <w:r>
              <w:rPr>
                <w:rFonts w:hint="eastAsia" w:ascii="宋体" w:hAnsi="宋体" w:eastAsia="宋体" w:cs="宋体"/>
                <w:b w:val="0"/>
                <w:bCs w:val="0"/>
                <w:color w:val="auto"/>
                <w:sz w:val="24"/>
                <w:szCs w:val="24"/>
              </w:rPr>
              <w:t>，作为养源，将污水中的NH-N转化成NO-N.NO-N。O级池的出水部分回流到A级池，为A级池提供电子接受体，通过反</w:t>
            </w:r>
            <w:r>
              <w:rPr>
                <w:rFonts w:hint="eastAsia" w:ascii="宋体" w:hAnsi="宋体" w:eastAsia="宋体" w:cs="宋体"/>
                <w:b w:val="0"/>
                <w:bCs w:val="0"/>
                <w:color w:val="auto"/>
                <w:sz w:val="24"/>
                <w:szCs w:val="24"/>
                <w:lang w:eastAsia="zh-CN"/>
              </w:rPr>
              <w:t>硝</w:t>
            </w:r>
            <w:r>
              <w:rPr>
                <w:rFonts w:hint="eastAsia" w:ascii="宋体" w:hAnsi="宋体" w:eastAsia="宋体" w:cs="宋体"/>
                <w:b w:val="0"/>
                <w:bCs w:val="0"/>
                <w:color w:val="auto"/>
                <w:sz w:val="24"/>
                <w:szCs w:val="24"/>
              </w:rPr>
              <w:t>化作用最终消除氮污染。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项目一体化污水处理设施处理工艺如下图所示 ：  </w:t>
            </w:r>
          </w:p>
          <w:p>
            <w:pPr>
              <w:pStyle w:val="9"/>
              <w:widowControl/>
              <w:suppressLineNumbers/>
              <w:spacing w:line="360" w:lineRule="auto"/>
              <w:ind w:firstLine="482"/>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drawing>
                <wp:inline distT="0" distB="0" distL="114300" distR="114300">
                  <wp:extent cx="4692015" cy="3479165"/>
                  <wp:effectExtent l="0" t="0" r="13335" b="6985"/>
                  <wp:docPr id="304" name="图片 304" descr="169044403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descr="1690444031138"/>
                          <pic:cNvPicPr>
                            <a:picLocks noChangeAspect="1"/>
                          </pic:cNvPicPr>
                        </pic:nvPicPr>
                        <pic:blipFill>
                          <a:blip r:embed="rId11"/>
                          <a:stretch>
                            <a:fillRect/>
                          </a:stretch>
                        </pic:blipFill>
                        <pic:spPr>
                          <a:xfrm>
                            <a:off x="0" y="0"/>
                            <a:ext cx="4692015" cy="3479165"/>
                          </a:xfrm>
                          <a:prstGeom prst="rect">
                            <a:avLst/>
                          </a:prstGeom>
                        </pic:spPr>
                      </pic:pic>
                    </a:graphicData>
                  </a:graphic>
                </wp:inline>
              </w:drawing>
            </w:r>
            <w:r>
              <w:rPr>
                <w:rFonts w:hint="eastAsia" w:ascii="宋体" w:hAnsi="宋体" w:eastAsia="宋体" w:cs="宋体"/>
                <w:b w:val="0"/>
                <w:bCs w:val="0"/>
                <w:color w:val="auto"/>
                <w:sz w:val="24"/>
                <w:szCs w:val="24"/>
                <w:lang w:val="en-US" w:eastAsia="zh-CN"/>
              </w:rPr>
              <w:t xml:space="preserve"> 图4-1污水处理工艺流程图</w:t>
            </w:r>
          </w:p>
          <w:p>
            <w:pPr>
              <w:pStyle w:val="9"/>
              <w:widowControl/>
              <w:suppressLineNumbers/>
              <w:spacing w:line="360" w:lineRule="auto"/>
              <w:ind w:firstLine="482"/>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eastAsia="zh-CN"/>
              </w:rPr>
              <w:t>废水</w:t>
            </w:r>
            <w:r>
              <w:rPr>
                <w:rFonts w:hint="eastAsia" w:ascii="宋体" w:hAnsi="宋体" w:eastAsia="宋体" w:cs="宋体"/>
                <w:b w:val="0"/>
                <w:bCs w:val="0"/>
                <w:color w:val="auto"/>
                <w:sz w:val="24"/>
                <w:szCs w:val="24"/>
                <w:lang w:val="en-US" w:eastAsia="zh-CN"/>
              </w:rPr>
              <w:t>污染物</w:t>
            </w:r>
            <w:r>
              <w:rPr>
                <w:rFonts w:hint="eastAsia" w:ascii="宋体" w:hAnsi="宋体" w:eastAsia="宋体" w:cs="宋体"/>
                <w:b w:val="0"/>
                <w:bCs w:val="0"/>
                <w:color w:val="auto"/>
                <w:sz w:val="24"/>
                <w:szCs w:val="24"/>
                <w:lang w:eastAsia="zh-CN"/>
              </w:rPr>
              <w:t>排放</w:t>
            </w:r>
            <w:r>
              <w:rPr>
                <w:rFonts w:hint="eastAsia" w:ascii="宋体" w:hAnsi="宋体" w:eastAsia="宋体" w:cs="宋体"/>
                <w:b w:val="0"/>
                <w:bCs w:val="0"/>
                <w:color w:val="auto"/>
                <w:sz w:val="24"/>
                <w:szCs w:val="24"/>
                <w:lang w:val="en-US" w:eastAsia="zh-CN"/>
              </w:rPr>
              <w:t>量</w:t>
            </w:r>
            <w:r>
              <w:rPr>
                <w:rFonts w:hint="eastAsia" w:ascii="宋体" w:hAnsi="宋体" w:eastAsia="宋体" w:cs="宋体"/>
                <w:b w:val="0"/>
                <w:bCs w:val="0"/>
                <w:color w:val="auto"/>
                <w:sz w:val="24"/>
                <w:szCs w:val="24"/>
                <w:lang w:eastAsia="zh-CN"/>
              </w:rPr>
              <w:t>核算</w:t>
            </w:r>
          </w:p>
          <w:p>
            <w:pPr>
              <w:widowControl/>
              <w:adjustRightInd w:val="0"/>
              <w:snapToGrid w:val="0"/>
              <w:spacing w:line="360" w:lineRule="auto"/>
              <w:ind w:firstLine="480" w:firstLineChars="200"/>
              <w:jc w:val="left"/>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参考《医院污水处理工程技术规范》（HJ2029-2013）表1医院污水水质指标参考数据</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val="en-US" w:eastAsia="zh-CN" w:bidi="ar"/>
              </w:rPr>
              <w:t>平均值）</w:t>
            </w:r>
            <w:r>
              <w:rPr>
                <w:rFonts w:hint="eastAsia" w:ascii="宋体" w:hAnsi="宋体" w:eastAsia="宋体" w:cs="宋体"/>
                <w:b w:val="0"/>
                <w:bCs w:val="0"/>
                <w:color w:val="auto"/>
                <w:kern w:val="0"/>
                <w:sz w:val="24"/>
                <w:szCs w:val="24"/>
                <w:lang w:bidi="ar"/>
              </w:rPr>
              <w:t>，结合项目污水处理站工艺</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sz w:val="24"/>
                <w:szCs w:val="24"/>
              </w:rPr>
              <w:t>根据HJ2009-2011《生物接触氧化法污水处理工艺技术规范》中表2接触氧化法污水处理工艺的污染物去除率设计值可知，生物接触氧化处理工艺城镇污水污染物去除率为COD</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90%，BOD</w:t>
            </w:r>
            <w:r>
              <w:rPr>
                <w:rFonts w:hint="eastAsia" w:ascii="宋体" w:hAnsi="宋体" w:eastAsia="宋体" w:cs="宋体"/>
                <w:b w:val="0"/>
                <w:bCs w:val="0"/>
                <w:color w:val="auto"/>
                <w:sz w:val="24"/>
                <w:szCs w:val="24"/>
                <w:vertAlign w:val="subscript"/>
              </w:rPr>
              <w:t>5</w:t>
            </w:r>
            <w:r>
              <w:rPr>
                <w:rFonts w:hint="eastAsia" w:ascii="宋体" w:hAnsi="宋体" w:eastAsia="宋体" w:cs="宋体"/>
                <w:b w:val="0"/>
                <w:bCs w:val="0"/>
                <w:color w:val="auto"/>
                <w:sz w:val="24"/>
                <w:szCs w:val="24"/>
              </w:rPr>
              <w:t>：80%</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95%，SS:70%</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90%，氨氮：60%</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90%，</w:t>
            </w:r>
            <w:r>
              <w:rPr>
                <w:rFonts w:hint="eastAsia" w:ascii="宋体" w:hAnsi="宋体" w:eastAsia="宋体" w:cs="宋体"/>
                <w:b w:val="0"/>
                <w:bCs w:val="0"/>
                <w:color w:val="auto"/>
                <w:sz w:val="24"/>
                <w:szCs w:val="24"/>
                <w:lang w:eastAsia="zh-CN"/>
              </w:rPr>
              <w:t>总磷：</w:t>
            </w:r>
            <w:r>
              <w:rPr>
                <w:rFonts w:hint="eastAsia" w:ascii="宋体" w:hAnsi="宋体" w:eastAsia="宋体" w:cs="宋体"/>
                <w:b w:val="0"/>
                <w:bCs w:val="0"/>
                <w:color w:val="auto"/>
                <w:sz w:val="24"/>
                <w:szCs w:val="24"/>
              </w:rPr>
              <w:t>90%，总氮</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50%</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80%</w:t>
            </w:r>
            <w:r>
              <w:rPr>
                <w:rFonts w:hint="eastAsia" w:ascii="宋体" w:hAnsi="宋体" w:eastAsia="宋体" w:cs="宋体"/>
                <w:b w:val="0"/>
                <w:bCs w:val="0"/>
                <w:color w:val="auto"/>
                <w:sz w:val="24"/>
                <w:szCs w:val="24"/>
                <w:lang w:eastAsia="zh-CN"/>
              </w:rPr>
              <w:t>，粪大肠菌群：</w:t>
            </w:r>
            <w:r>
              <w:rPr>
                <w:rFonts w:hint="eastAsia" w:ascii="宋体" w:hAnsi="宋体" w:eastAsia="宋体" w:cs="宋体"/>
                <w:b w:val="0"/>
                <w:bCs w:val="0"/>
                <w:color w:val="auto"/>
                <w:sz w:val="24"/>
                <w:szCs w:val="24"/>
                <w:lang w:val="en-US" w:eastAsia="zh-CN"/>
              </w:rPr>
              <w:t>99.99999</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kern w:val="0"/>
                <w:sz w:val="24"/>
                <w:szCs w:val="24"/>
                <w:lang w:bidi="ar"/>
              </w:rPr>
              <w:t xml:space="preserve">项目废水污染物核算见下表。 </w:t>
            </w:r>
          </w:p>
          <w:p>
            <w:pPr>
              <w:widowControl/>
              <w:jc w:val="center"/>
              <w:rPr>
                <w:rFonts w:hint="eastAsia" w:ascii="黑体" w:hAnsi="黑体" w:eastAsia="黑体" w:cs="黑体"/>
                <w:b w:val="0"/>
                <w:bCs w:val="0"/>
                <w:color w:val="auto"/>
                <w:kern w:val="0"/>
                <w:sz w:val="21"/>
                <w:szCs w:val="21"/>
                <w:lang w:bidi="ar"/>
              </w:rPr>
            </w:pPr>
            <w:r>
              <w:rPr>
                <w:rFonts w:hint="eastAsia" w:ascii="黑体" w:hAnsi="黑体" w:eastAsia="黑体" w:cs="黑体"/>
                <w:b w:val="0"/>
                <w:bCs w:val="0"/>
                <w:color w:val="auto"/>
                <w:kern w:val="0"/>
                <w:sz w:val="21"/>
                <w:szCs w:val="21"/>
                <w:lang w:bidi="ar"/>
              </w:rPr>
              <w:t>表 4-</w:t>
            </w:r>
            <w:r>
              <w:rPr>
                <w:rFonts w:hint="eastAsia" w:ascii="黑体" w:hAnsi="黑体" w:eastAsia="黑体" w:cs="黑体"/>
                <w:b w:val="0"/>
                <w:bCs w:val="0"/>
                <w:color w:val="auto"/>
                <w:kern w:val="0"/>
                <w:sz w:val="21"/>
                <w:szCs w:val="21"/>
                <w:lang w:val="en-US" w:eastAsia="zh-CN" w:bidi="ar"/>
              </w:rPr>
              <w:t>3</w:t>
            </w:r>
            <w:r>
              <w:rPr>
                <w:rFonts w:hint="eastAsia" w:ascii="黑体" w:hAnsi="黑体" w:eastAsia="黑体" w:cs="黑体"/>
                <w:b w:val="0"/>
                <w:bCs w:val="0"/>
                <w:color w:val="auto"/>
                <w:kern w:val="0"/>
                <w:sz w:val="21"/>
                <w:szCs w:val="21"/>
                <w:lang w:bidi="ar"/>
              </w:rPr>
              <w:t xml:space="preserve"> 项目废水污染物排放情况一览表</w:t>
            </w:r>
          </w:p>
          <w:tbl>
            <w:tblPr>
              <w:tblStyle w:val="26"/>
              <w:tblW w:w="798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780"/>
              <w:gridCol w:w="1030"/>
              <w:gridCol w:w="820"/>
              <w:gridCol w:w="660"/>
              <w:gridCol w:w="580"/>
              <w:gridCol w:w="787"/>
              <w:gridCol w:w="611"/>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排污单位</w:t>
                  </w:r>
                </w:p>
              </w:tc>
              <w:tc>
                <w:tcPr>
                  <w:tcW w:w="178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核算指标</w:t>
                  </w:r>
                </w:p>
              </w:tc>
              <w:tc>
                <w:tcPr>
                  <w:tcW w:w="103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COD</w:t>
                  </w:r>
                </w:p>
              </w:tc>
              <w:tc>
                <w:tcPr>
                  <w:tcW w:w="82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BOD</w:t>
                  </w:r>
                  <w:r>
                    <w:rPr>
                      <w:rFonts w:hint="eastAsia" w:ascii="宋体" w:hAnsi="宋体" w:eastAsia="宋体" w:cs="宋体"/>
                      <w:b w:val="0"/>
                      <w:bCs w:val="0"/>
                      <w:color w:val="auto"/>
                      <w:sz w:val="18"/>
                      <w:szCs w:val="18"/>
                      <w:vertAlign w:val="subscript"/>
                    </w:rPr>
                    <w:t>5</w:t>
                  </w:r>
                </w:p>
              </w:tc>
              <w:tc>
                <w:tcPr>
                  <w:tcW w:w="66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氨氮</w:t>
                  </w:r>
                </w:p>
              </w:tc>
              <w:tc>
                <w:tcPr>
                  <w:tcW w:w="58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SS</w:t>
                  </w:r>
                </w:p>
              </w:tc>
              <w:tc>
                <w:tcPr>
                  <w:tcW w:w="787"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阴离子表面活性剂</w:t>
                  </w:r>
                </w:p>
              </w:tc>
              <w:tc>
                <w:tcPr>
                  <w:tcW w:w="611"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总磷</w:t>
                  </w:r>
                </w:p>
              </w:tc>
              <w:tc>
                <w:tcPr>
                  <w:tcW w:w="923"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粪大肠菌群数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restart"/>
                  <w:vAlign w:val="center"/>
                </w:tcPr>
                <w:p>
                  <w:pPr>
                    <w:widowControl/>
                    <w:adjustRightInd w:val="0"/>
                    <w:snapToGrid w:val="0"/>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项目废水产生量为</w:t>
                  </w:r>
                  <w:r>
                    <w:rPr>
                      <w:rFonts w:hint="eastAsia" w:ascii="宋体" w:hAnsi="宋体" w:eastAsia="宋体" w:cs="宋体"/>
                      <w:b w:val="0"/>
                      <w:bCs w:val="0"/>
                      <w:color w:val="auto"/>
                      <w:sz w:val="18"/>
                      <w:szCs w:val="18"/>
                      <w:lang w:val="en-US" w:eastAsia="zh-CN"/>
                    </w:rPr>
                    <w:t>2774.73</w:t>
                  </w:r>
                  <w:r>
                    <w:rPr>
                      <w:rFonts w:hint="eastAsia" w:ascii="宋体" w:hAnsi="宋体" w:eastAsia="宋体" w:cs="宋体"/>
                      <w:b w:val="0"/>
                      <w:bCs w:val="0"/>
                      <w:color w:val="auto"/>
                      <w:sz w:val="18"/>
                      <w:szCs w:val="18"/>
                      <w:lang w:eastAsia="zh-CN"/>
                    </w:rPr>
                    <w:t>m³</w:t>
                  </w:r>
                  <w:r>
                    <w:rPr>
                      <w:rFonts w:hint="eastAsia" w:ascii="宋体" w:hAnsi="宋体" w:eastAsia="宋体" w:cs="宋体"/>
                      <w:b w:val="0"/>
                      <w:bCs w:val="0"/>
                      <w:color w:val="auto"/>
                      <w:sz w:val="18"/>
                      <w:szCs w:val="18"/>
                    </w:rPr>
                    <w:t>/a</w:t>
                  </w:r>
                </w:p>
              </w:tc>
              <w:tc>
                <w:tcPr>
                  <w:tcW w:w="1780" w:type="dxa"/>
                  <w:vAlign w:val="center"/>
                </w:tcPr>
                <w:p>
                  <w:pPr>
                    <w:widowControl/>
                    <w:adjustRightInd w:val="0"/>
                    <w:snapToGrid w:val="0"/>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处理设施进水水质混合浓度（mg/L）</w:t>
                  </w:r>
                </w:p>
              </w:tc>
              <w:tc>
                <w:tcPr>
                  <w:tcW w:w="103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250</w:t>
                  </w:r>
                </w:p>
              </w:tc>
              <w:tc>
                <w:tcPr>
                  <w:tcW w:w="82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100</w:t>
                  </w:r>
                </w:p>
              </w:tc>
              <w:tc>
                <w:tcPr>
                  <w:tcW w:w="66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30</w:t>
                  </w:r>
                </w:p>
              </w:tc>
              <w:tc>
                <w:tcPr>
                  <w:tcW w:w="58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80</w:t>
                  </w:r>
                </w:p>
              </w:tc>
              <w:tc>
                <w:tcPr>
                  <w:tcW w:w="787" w:type="dxa"/>
                  <w:vAlign w:val="center"/>
                </w:tcPr>
                <w:p>
                  <w:pPr>
                    <w:widowControl/>
                    <w:adjustRightInd w:val="0"/>
                    <w:snapToGrid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25</w:t>
                  </w:r>
                </w:p>
              </w:tc>
              <w:tc>
                <w:tcPr>
                  <w:tcW w:w="611" w:type="dxa"/>
                  <w:vAlign w:val="center"/>
                </w:tcPr>
                <w:p>
                  <w:pPr>
                    <w:widowControl/>
                    <w:adjustRightInd w:val="0"/>
                    <w:snapToGrid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10</w:t>
                  </w:r>
                </w:p>
              </w:tc>
              <w:tc>
                <w:tcPr>
                  <w:tcW w:w="923" w:type="dxa"/>
                  <w:vAlign w:val="center"/>
                </w:tcPr>
                <w:p>
                  <w:pPr>
                    <w:widowControl/>
                    <w:adjustRightInd w:val="0"/>
                    <w:snapToGrid w:val="0"/>
                    <w:jc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kern w:val="0"/>
                      <w:sz w:val="18"/>
                      <w:szCs w:val="18"/>
                      <w:lang w:val="en-US" w:eastAsia="zh-CN" w:bidi="ar"/>
                    </w:rPr>
                    <w:t>1.6*10</w:t>
                  </w:r>
                  <w:r>
                    <w:rPr>
                      <w:rFonts w:hint="eastAsia" w:ascii="宋体" w:hAnsi="宋体" w:eastAsia="宋体" w:cs="宋体"/>
                      <w:b w:val="0"/>
                      <w:bCs w:val="0"/>
                      <w:color w:val="auto"/>
                      <w:kern w:val="0"/>
                      <w:sz w:val="18"/>
                      <w:szCs w:val="18"/>
                      <w:vertAlign w:val="superscript"/>
                      <w:lang w:val="en-US" w:eastAsia="zh-CN" w:bidi="ar"/>
                    </w:rPr>
                    <w:t>8</w:t>
                  </w:r>
                  <w:r>
                    <w:rPr>
                      <w:rFonts w:hint="eastAsia" w:ascii="宋体" w:hAnsi="宋体" w:eastAsia="宋体" w:cs="宋体"/>
                      <w:b w:val="0"/>
                      <w:bCs w:val="0"/>
                      <w:color w:val="auto"/>
                      <w:kern w:val="0"/>
                      <w:sz w:val="18"/>
                      <w:szCs w:val="18"/>
                      <w:vertAlign w:val="baseline"/>
                      <w:lang w:val="en-US" w:eastAsia="zh-CN" w:bidi="ar"/>
                    </w:rPr>
                    <w:t>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p>
              </w:tc>
              <w:tc>
                <w:tcPr>
                  <w:tcW w:w="1780" w:type="dxa"/>
                  <w:vAlign w:val="center"/>
                </w:tcPr>
                <w:p>
                  <w:pPr>
                    <w:widowControl/>
                    <w:adjustRightInd w:val="0"/>
                    <w:snapToGrid w:val="0"/>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污染物产生量（t/a）</w:t>
                  </w:r>
                </w:p>
              </w:tc>
              <w:tc>
                <w:tcPr>
                  <w:tcW w:w="1030"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lang w:val="en-US" w:eastAsia="zh-CN"/>
                    </w:rPr>
                    <w:t>0.69</w:t>
                  </w:r>
                </w:p>
              </w:tc>
              <w:tc>
                <w:tcPr>
                  <w:tcW w:w="820"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lang w:val="en-US" w:eastAsia="zh-CN"/>
                    </w:rPr>
                    <w:t>0.28</w:t>
                  </w:r>
                </w:p>
              </w:tc>
              <w:tc>
                <w:tcPr>
                  <w:tcW w:w="660"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lang w:val="en-US" w:eastAsia="zh-CN"/>
                    </w:rPr>
                    <w:t>0.08</w:t>
                  </w:r>
                </w:p>
              </w:tc>
              <w:tc>
                <w:tcPr>
                  <w:tcW w:w="580"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val="en-US" w:bidi="ar"/>
                    </w:rPr>
                  </w:pPr>
                  <w:r>
                    <w:rPr>
                      <w:rFonts w:hint="eastAsia" w:ascii="宋体" w:hAnsi="宋体" w:eastAsia="宋体" w:cs="宋体"/>
                      <w:b w:val="0"/>
                      <w:bCs w:val="0"/>
                      <w:color w:val="auto"/>
                      <w:sz w:val="18"/>
                      <w:szCs w:val="18"/>
                      <w:lang w:val="en-US" w:eastAsia="zh-CN"/>
                    </w:rPr>
                    <w:t>0.22</w:t>
                  </w:r>
                </w:p>
              </w:tc>
              <w:tc>
                <w:tcPr>
                  <w:tcW w:w="787"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lang w:val="en-US" w:eastAsia="zh-CN"/>
                    </w:rPr>
                    <w:t>0.069</w:t>
                  </w:r>
                  <w:r>
                    <w:rPr>
                      <w:rFonts w:hint="eastAsia" w:ascii="宋体" w:hAnsi="宋体" w:eastAsia="宋体" w:cs="宋体"/>
                      <w:b w:val="0"/>
                      <w:bCs w:val="0"/>
                      <w:color w:val="auto"/>
                      <w:sz w:val="18"/>
                      <w:szCs w:val="18"/>
                    </w:rPr>
                    <w:t xml:space="preserve"> </w:t>
                  </w:r>
                </w:p>
              </w:tc>
              <w:tc>
                <w:tcPr>
                  <w:tcW w:w="611"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lang w:val="en-US" w:eastAsia="zh-CN"/>
                    </w:rPr>
                    <w:t>0.028</w:t>
                  </w:r>
                </w:p>
              </w:tc>
              <w:tc>
                <w:tcPr>
                  <w:tcW w:w="923"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eastAsia="zh-CN" w:bidi="ar"/>
                    </w:rPr>
                  </w:pPr>
                  <w:r>
                    <w:rPr>
                      <w:rFonts w:hint="eastAsia" w:ascii="宋体" w:hAnsi="宋体" w:eastAsia="宋体" w:cs="宋体"/>
                      <w:b w:val="0"/>
                      <w:bCs w:val="0"/>
                      <w:color w:val="auto"/>
                      <w:sz w:val="18"/>
                      <w:szCs w:val="18"/>
                      <w:lang w:val="en-US" w:eastAsia="zh-CN"/>
                    </w:rPr>
                    <w:t>4.44</w:t>
                  </w:r>
                  <w:r>
                    <w:rPr>
                      <w:rFonts w:hint="eastAsia" w:ascii="宋体" w:hAnsi="宋体" w:eastAsia="宋体" w:cs="宋体"/>
                      <w:b w:val="0"/>
                      <w:bCs w:val="0"/>
                      <w:color w:val="auto"/>
                      <w:sz w:val="18"/>
                      <w:szCs w:val="18"/>
                    </w:rPr>
                    <w:t>×10</w:t>
                  </w:r>
                  <w:r>
                    <w:rPr>
                      <w:rFonts w:hint="eastAsia" w:ascii="宋体" w:hAnsi="宋体" w:eastAsia="宋体" w:cs="宋体"/>
                      <w:b w:val="0"/>
                      <w:bCs w:val="0"/>
                      <w:color w:val="auto"/>
                      <w:sz w:val="18"/>
                      <w:szCs w:val="18"/>
                      <w:vertAlign w:val="superscript"/>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p>
              </w:tc>
              <w:tc>
                <w:tcPr>
                  <w:tcW w:w="1780" w:type="dxa"/>
                  <w:vAlign w:val="center"/>
                </w:tcPr>
                <w:p>
                  <w:pPr>
                    <w:widowControl/>
                    <w:adjustRightInd w:val="0"/>
                    <w:snapToGrid w:val="0"/>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污水处理设施去除效率（%）</w:t>
                  </w:r>
                </w:p>
              </w:tc>
              <w:tc>
                <w:tcPr>
                  <w:tcW w:w="103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rPr>
                  </w:pPr>
                  <w:r>
                    <w:rPr>
                      <w:rFonts w:hint="eastAsia" w:ascii="宋体" w:hAnsi="宋体" w:eastAsia="宋体" w:cs="宋体"/>
                      <w:b w:val="0"/>
                      <w:bCs w:val="0"/>
                      <w:color w:val="auto"/>
                      <w:kern w:val="0"/>
                      <w:sz w:val="18"/>
                      <w:szCs w:val="18"/>
                      <w:lang w:val="en-US" w:eastAsia="zh-CN" w:bidi="ar"/>
                    </w:rPr>
                    <w:t>85</w:t>
                  </w:r>
                </w:p>
              </w:tc>
              <w:tc>
                <w:tcPr>
                  <w:tcW w:w="82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90</w:t>
                  </w:r>
                </w:p>
              </w:tc>
              <w:tc>
                <w:tcPr>
                  <w:tcW w:w="66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70</w:t>
                  </w:r>
                </w:p>
              </w:tc>
              <w:tc>
                <w:tcPr>
                  <w:tcW w:w="58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80</w:t>
                  </w:r>
                </w:p>
              </w:tc>
              <w:tc>
                <w:tcPr>
                  <w:tcW w:w="787" w:type="dxa"/>
                  <w:vAlign w:val="center"/>
                </w:tcPr>
                <w:p>
                  <w:pPr>
                    <w:widowControl/>
                    <w:adjustRightInd w:val="0"/>
                    <w:snapToGrid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80</w:t>
                  </w:r>
                </w:p>
              </w:tc>
              <w:tc>
                <w:tcPr>
                  <w:tcW w:w="611"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90</w:t>
                  </w:r>
                </w:p>
              </w:tc>
              <w:tc>
                <w:tcPr>
                  <w:tcW w:w="923"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rPr>
                    <w:t>99.9999</w:t>
                  </w:r>
                  <w:r>
                    <w:rPr>
                      <w:rFonts w:hint="eastAsia" w:ascii="宋体" w:hAnsi="宋体" w:eastAsia="宋体" w:cs="宋体"/>
                      <w:b w:val="0"/>
                      <w:bCs w:val="0"/>
                      <w:color w:val="auto"/>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p>
              </w:tc>
              <w:tc>
                <w:tcPr>
                  <w:tcW w:w="1780" w:type="dxa"/>
                  <w:vAlign w:val="center"/>
                </w:tcPr>
                <w:p>
                  <w:pPr>
                    <w:widowControl/>
                    <w:adjustRightInd w:val="0"/>
                    <w:snapToGrid w:val="0"/>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处理设施出水水质浓度（mg/L）</w:t>
                  </w:r>
                </w:p>
              </w:tc>
              <w:tc>
                <w:tcPr>
                  <w:tcW w:w="103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37.5</w:t>
                  </w:r>
                </w:p>
              </w:tc>
              <w:tc>
                <w:tcPr>
                  <w:tcW w:w="82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10</w:t>
                  </w:r>
                </w:p>
              </w:tc>
              <w:tc>
                <w:tcPr>
                  <w:tcW w:w="66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kern w:val="0"/>
                      <w:sz w:val="18"/>
                      <w:szCs w:val="18"/>
                      <w:lang w:val="en-US" w:eastAsia="zh-CN" w:bidi="ar"/>
                    </w:rPr>
                    <w:t>9</w:t>
                  </w:r>
                </w:p>
              </w:tc>
              <w:tc>
                <w:tcPr>
                  <w:tcW w:w="580"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kern w:val="0"/>
                      <w:sz w:val="18"/>
                      <w:szCs w:val="18"/>
                      <w:lang w:val="en-US" w:eastAsia="zh-CN" w:bidi="ar"/>
                    </w:rPr>
                    <w:t>16</w:t>
                  </w:r>
                </w:p>
              </w:tc>
              <w:tc>
                <w:tcPr>
                  <w:tcW w:w="787" w:type="dxa"/>
                  <w:vAlign w:val="center"/>
                </w:tcPr>
                <w:p>
                  <w:pPr>
                    <w:widowControl/>
                    <w:adjustRightInd w:val="0"/>
                    <w:snapToGrid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5</w:t>
                  </w:r>
                </w:p>
              </w:tc>
              <w:tc>
                <w:tcPr>
                  <w:tcW w:w="611" w:type="dxa"/>
                  <w:vAlign w:val="center"/>
                </w:tcPr>
                <w:p>
                  <w:pPr>
                    <w:widowControl/>
                    <w:adjustRightInd w:val="0"/>
                    <w:snapToGrid w:val="0"/>
                    <w:jc w:val="center"/>
                    <w:textAlignment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kern w:val="0"/>
                      <w:sz w:val="18"/>
                      <w:szCs w:val="18"/>
                      <w:lang w:val="en-US" w:eastAsia="zh-CN" w:bidi="ar"/>
                    </w:rPr>
                    <w:t>1</w:t>
                  </w:r>
                </w:p>
              </w:tc>
              <w:tc>
                <w:tcPr>
                  <w:tcW w:w="923"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lang w:val="en-US" w:eastAsia="zh-CN"/>
                    </w:rPr>
                    <w:t>16</w:t>
                  </w:r>
                  <w:r>
                    <w:rPr>
                      <w:rFonts w:hint="eastAsia" w:ascii="宋体" w:hAnsi="宋体" w:eastAsia="宋体" w:cs="宋体"/>
                      <w:b w:val="0"/>
                      <w:bCs w:val="0"/>
                      <w:color w:val="auto"/>
                      <w:kern w:val="0"/>
                      <w:sz w:val="18"/>
                      <w:szCs w:val="18"/>
                      <w:lang w:bidi="ar"/>
                    </w:rPr>
                    <w:t>（个/L）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p>
              </w:tc>
              <w:tc>
                <w:tcPr>
                  <w:tcW w:w="178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污染物排放量（t/a）</w:t>
                  </w:r>
                </w:p>
              </w:tc>
              <w:tc>
                <w:tcPr>
                  <w:tcW w:w="1030"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lang w:val="en-US" w:eastAsia="zh-CN"/>
                    </w:rPr>
                    <w:t>0.10</w:t>
                  </w:r>
                </w:p>
              </w:tc>
              <w:tc>
                <w:tcPr>
                  <w:tcW w:w="820"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val="en-US" w:bidi="ar"/>
                    </w:rPr>
                  </w:pPr>
                  <w:r>
                    <w:rPr>
                      <w:rFonts w:hint="eastAsia" w:ascii="宋体" w:hAnsi="宋体" w:eastAsia="宋体" w:cs="宋体"/>
                      <w:b w:val="0"/>
                      <w:bCs w:val="0"/>
                      <w:color w:val="auto"/>
                      <w:sz w:val="18"/>
                      <w:szCs w:val="18"/>
                      <w:lang w:val="en-US" w:eastAsia="zh-CN"/>
                    </w:rPr>
                    <w:t>0.028</w:t>
                  </w:r>
                </w:p>
              </w:tc>
              <w:tc>
                <w:tcPr>
                  <w:tcW w:w="660"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val="en-US" w:bidi="ar"/>
                    </w:rPr>
                  </w:pPr>
                  <w:r>
                    <w:rPr>
                      <w:rFonts w:hint="eastAsia" w:ascii="宋体" w:hAnsi="宋体" w:eastAsia="宋体" w:cs="宋体"/>
                      <w:b w:val="0"/>
                      <w:bCs w:val="0"/>
                      <w:color w:val="auto"/>
                      <w:sz w:val="18"/>
                      <w:szCs w:val="18"/>
                      <w:lang w:val="en-US" w:eastAsia="zh-CN"/>
                    </w:rPr>
                    <w:t>0.025</w:t>
                  </w:r>
                </w:p>
              </w:tc>
              <w:tc>
                <w:tcPr>
                  <w:tcW w:w="580"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lang w:val="en-US" w:eastAsia="zh-CN"/>
                    </w:rPr>
                    <w:t>0.044</w:t>
                  </w:r>
                </w:p>
              </w:tc>
              <w:tc>
                <w:tcPr>
                  <w:tcW w:w="787"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0.</w:t>
                  </w:r>
                  <w:r>
                    <w:rPr>
                      <w:rFonts w:hint="eastAsia" w:ascii="宋体" w:hAnsi="宋体" w:eastAsia="宋体" w:cs="宋体"/>
                      <w:b w:val="0"/>
                      <w:bCs w:val="0"/>
                      <w:color w:val="auto"/>
                      <w:sz w:val="18"/>
                      <w:szCs w:val="18"/>
                      <w:lang w:val="en-US" w:eastAsia="zh-CN"/>
                    </w:rPr>
                    <w:t>014</w:t>
                  </w:r>
                </w:p>
              </w:tc>
              <w:tc>
                <w:tcPr>
                  <w:tcW w:w="611" w:type="dxa"/>
                  <w:vAlign w:val="center"/>
                </w:tcPr>
                <w:p>
                  <w:pPr>
                    <w:widowControl/>
                    <w:adjustRightInd w:val="0"/>
                    <w:snapToGrid w:val="0"/>
                    <w:jc w:val="center"/>
                    <w:textAlignment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lang w:val="en-US" w:eastAsia="zh-CN"/>
                    </w:rPr>
                    <w:t>0.0028</w:t>
                  </w:r>
                  <w:r>
                    <w:rPr>
                      <w:rFonts w:hint="eastAsia" w:ascii="宋体" w:hAnsi="宋体" w:eastAsia="宋体" w:cs="宋体"/>
                      <w:b w:val="0"/>
                      <w:bCs w:val="0"/>
                      <w:color w:val="auto"/>
                      <w:sz w:val="18"/>
                      <w:szCs w:val="18"/>
                    </w:rPr>
                    <w:t xml:space="preserve"> </w:t>
                  </w:r>
                </w:p>
              </w:tc>
              <w:tc>
                <w:tcPr>
                  <w:tcW w:w="923" w:type="dxa"/>
                  <w:vAlign w:val="center"/>
                </w:tcPr>
                <w:p>
                  <w:pPr>
                    <w:widowControl/>
                    <w:jc w:val="center"/>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sz w:val="18"/>
                      <w:szCs w:val="18"/>
                      <w:lang w:val="en-US" w:eastAsia="zh-CN"/>
                    </w:rPr>
                    <w:t>4.4*10</w:t>
                  </w:r>
                  <w:r>
                    <w:rPr>
                      <w:rFonts w:hint="eastAsia" w:ascii="宋体" w:hAnsi="宋体" w:eastAsia="宋体" w:cs="宋体"/>
                      <w:b w:val="0"/>
                      <w:bCs w:val="0"/>
                      <w:color w:val="auto"/>
                      <w:sz w:val="18"/>
                      <w:szCs w:val="18"/>
                      <w:vertAlign w:val="superscript"/>
                      <w:lang w:val="en-US" w:eastAsia="zh-CN"/>
                    </w:rPr>
                    <w:t>7</w:t>
                  </w:r>
                  <w:r>
                    <w:rPr>
                      <w:rFonts w:hint="eastAsia" w:ascii="宋体" w:hAnsi="宋体" w:eastAsia="宋体" w:cs="宋体"/>
                      <w:b w:val="0"/>
                      <w:bCs w:val="0"/>
                      <w:color w:val="auto"/>
                      <w:kern w:val="0"/>
                      <w:sz w:val="18"/>
                      <w:szCs w:val="18"/>
                      <w:lang w:bidi="ar"/>
                    </w:rPr>
                    <w:t>（个）</w:t>
                  </w:r>
                  <w:r>
                    <w:rPr>
                      <w:rFonts w:hint="eastAsia" w:ascii="宋体" w:hAnsi="宋体" w:eastAsia="宋体" w:cs="宋体"/>
                      <w:b w:val="0"/>
                      <w:bCs w:val="0"/>
                      <w:color w:val="auto"/>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p>
              </w:tc>
              <w:tc>
                <w:tcPr>
                  <w:tcW w:w="1780" w:type="dxa"/>
                  <w:vAlign w:val="center"/>
                </w:tcPr>
                <w:p>
                  <w:pPr>
                    <w:widowControl/>
                    <w:adjustRightInd w:val="0"/>
                    <w:snapToGrid w:val="0"/>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《医疗机构水污染物排放标准》（GB18466-2005）中表2预处理标准</w:t>
                  </w:r>
                </w:p>
              </w:tc>
              <w:tc>
                <w:tcPr>
                  <w:tcW w:w="103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250</w:t>
                  </w:r>
                </w:p>
              </w:tc>
              <w:tc>
                <w:tcPr>
                  <w:tcW w:w="82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100</w:t>
                  </w:r>
                </w:p>
              </w:tc>
              <w:tc>
                <w:tcPr>
                  <w:tcW w:w="66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w:t>
                  </w:r>
                </w:p>
              </w:tc>
              <w:tc>
                <w:tcPr>
                  <w:tcW w:w="58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60</w:t>
                  </w:r>
                </w:p>
              </w:tc>
              <w:tc>
                <w:tcPr>
                  <w:tcW w:w="787"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10</w:t>
                  </w:r>
                </w:p>
              </w:tc>
              <w:tc>
                <w:tcPr>
                  <w:tcW w:w="611"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w:t>
                  </w:r>
                </w:p>
              </w:tc>
              <w:tc>
                <w:tcPr>
                  <w:tcW w:w="923"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5000</w:t>
                  </w:r>
                </w:p>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p>
              </w:tc>
              <w:tc>
                <w:tcPr>
                  <w:tcW w:w="1780" w:type="dxa"/>
                  <w:vAlign w:val="center"/>
                </w:tcPr>
                <w:p>
                  <w:pPr>
                    <w:widowControl/>
                    <w:adjustRightInd w:val="0"/>
                    <w:snapToGrid w:val="0"/>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lang w:bidi="ar"/>
                    </w:rPr>
                    <w:t>《污水排入城</w:t>
                  </w:r>
                  <w:r>
                    <w:rPr>
                      <w:rFonts w:hint="eastAsia" w:ascii="宋体" w:hAnsi="宋体" w:eastAsia="宋体" w:cs="宋体"/>
                      <w:b w:val="0"/>
                      <w:bCs w:val="0"/>
                      <w:color w:val="auto"/>
                      <w:kern w:val="0"/>
                      <w:sz w:val="18"/>
                      <w:szCs w:val="18"/>
                      <w:lang w:val="en-US" w:eastAsia="zh-CN" w:bidi="ar"/>
                    </w:rPr>
                    <w:t>镇</w:t>
                  </w:r>
                  <w:r>
                    <w:rPr>
                      <w:rFonts w:hint="eastAsia" w:ascii="宋体" w:hAnsi="宋体" w:eastAsia="宋体" w:cs="宋体"/>
                      <w:b w:val="0"/>
                      <w:bCs w:val="0"/>
                      <w:color w:val="auto"/>
                      <w:kern w:val="0"/>
                      <w:sz w:val="18"/>
                      <w:szCs w:val="18"/>
                      <w:lang w:bidi="ar"/>
                    </w:rPr>
                    <w:t>下水道水质标准》</w:t>
                  </w:r>
                  <w:r>
                    <w:rPr>
                      <w:rFonts w:hint="eastAsia" w:ascii="宋体" w:hAnsi="宋体" w:eastAsia="宋体" w:cs="宋体"/>
                      <w:bCs/>
                      <w:color w:val="auto"/>
                      <w:sz w:val="18"/>
                      <w:szCs w:val="18"/>
                    </w:rPr>
                    <w:t xml:space="preserve"> </w:t>
                  </w:r>
                  <w:r>
                    <w:rPr>
                      <w:rFonts w:hint="eastAsia" w:ascii="宋体" w:hAnsi="宋体" w:eastAsia="宋体" w:cs="宋体"/>
                      <w:b w:val="0"/>
                      <w:bCs w:val="0"/>
                      <w:color w:val="auto"/>
                      <w:kern w:val="0"/>
                      <w:sz w:val="18"/>
                      <w:szCs w:val="18"/>
                      <w:lang w:bidi="ar"/>
                    </w:rPr>
                    <w:t>（GB/T31962-2015）表1中A级标准</w:t>
                  </w:r>
                </w:p>
              </w:tc>
              <w:tc>
                <w:tcPr>
                  <w:tcW w:w="103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lang w:val="en-US" w:eastAsia="zh-CN"/>
                    </w:rPr>
                  </w:pPr>
                </w:p>
              </w:tc>
              <w:tc>
                <w:tcPr>
                  <w:tcW w:w="82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lang w:val="en-US" w:eastAsia="zh-CN"/>
                    </w:rPr>
                  </w:pPr>
                </w:p>
              </w:tc>
              <w:tc>
                <w:tcPr>
                  <w:tcW w:w="66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45</w:t>
                  </w:r>
                </w:p>
              </w:tc>
              <w:tc>
                <w:tcPr>
                  <w:tcW w:w="58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lang w:val="en-US" w:eastAsia="zh-CN"/>
                    </w:rPr>
                  </w:pPr>
                </w:p>
              </w:tc>
              <w:tc>
                <w:tcPr>
                  <w:tcW w:w="787"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lang w:val="en-US" w:eastAsia="zh-CN"/>
                    </w:rPr>
                  </w:pPr>
                </w:p>
              </w:tc>
              <w:tc>
                <w:tcPr>
                  <w:tcW w:w="611"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8</w:t>
                  </w:r>
                </w:p>
              </w:tc>
              <w:tc>
                <w:tcPr>
                  <w:tcW w:w="923"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p>
              </w:tc>
              <w:tc>
                <w:tcPr>
                  <w:tcW w:w="178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达标情况</w:t>
                  </w:r>
                </w:p>
              </w:tc>
              <w:tc>
                <w:tcPr>
                  <w:tcW w:w="103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达标</w:t>
                  </w:r>
                </w:p>
              </w:tc>
              <w:tc>
                <w:tcPr>
                  <w:tcW w:w="82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达标</w:t>
                  </w:r>
                </w:p>
              </w:tc>
              <w:tc>
                <w:tcPr>
                  <w:tcW w:w="66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达标</w:t>
                  </w:r>
                </w:p>
              </w:tc>
              <w:tc>
                <w:tcPr>
                  <w:tcW w:w="580"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达标</w:t>
                  </w:r>
                </w:p>
              </w:tc>
              <w:tc>
                <w:tcPr>
                  <w:tcW w:w="787"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达标</w:t>
                  </w:r>
                </w:p>
              </w:tc>
              <w:tc>
                <w:tcPr>
                  <w:tcW w:w="611"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达标</w:t>
                  </w:r>
                </w:p>
              </w:tc>
              <w:tc>
                <w:tcPr>
                  <w:tcW w:w="923" w:type="dxa"/>
                  <w:vAlign w:val="center"/>
                </w:tcPr>
                <w:p>
                  <w:pPr>
                    <w:pStyle w:val="16"/>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达标</w:t>
                  </w:r>
                </w:p>
              </w:tc>
            </w:tr>
          </w:tbl>
          <w:p>
            <w:pPr>
              <w:pStyle w:val="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由上表可知，项目废水经处理后，能够达到</w:t>
            </w:r>
            <w:r>
              <w:rPr>
                <w:rFonts w:hint="eastAsia" w:ascii="宋体" w:hAnsi="宋体" w:eastAsia="宋体" w:cs="宋体"/>
                <w:b w:val="0"/>
                <w:bCs w:val="0"/>
                <w:color w:val="auto"/>
                <w:sz w:val="24"/>
                <w:szCs w:val="24"/>
              </w:rPr>
              <w:t>（GB18466-2005）《医疗机构水污染物排放标准》表2中预处理标准</w:t>
            </w:r>
            <w:r>
              <w:rPr>
                <w:rFonts w:hint="eastAsia" w:ascii="宋体" w:hAnsi="宋体" w:eastAsia="宋体" w:cs="宋体"/>
                <w:b w:val="0"/>
                <w:bCs w:val="0"/>
                <w:color w:val="auto"/>
                <w:sz w:val="24"/>
                <w:szCs w:val="24"/>
                <w:lang w:val="en-US" w:eastAsia="zh-CN"/>
              </w:rPr>
              <w:t>,</w:t>
            </w:r>
            <w:r>
              <w:rPr>
                <w:rFonts w:hint="eastAsia" w:ascii="宋体" w:hAnsi="宋体" w:eastAsia="宋体" w:cs="宋体"/>
                <w:color w:val="auto"/>
                <w:sz w:val="24"/>
                <w:szCs w:val="24"/>
              </w:rPr>
              <w:t>氨氮、总磷</w:t>
            </w:r>
            <w:r>
              <w:rPr>
                <w:rFonts w:hint="eastAsia" w:ascii="宋体" w:hAnsi="宋体" w:eastAsia="宋体" w:cs="宋体"/>
                <w:color w:val="auto"/>
                <w:sz w:val="24"/>
                <w:szCs w:val="24"/>
                <w:lang w:val="en-US" w:eastAsia="zh-CN"/>
              </w:rPr>
              <w:t>能达到</w:t>
            </w:r>
            <w:r>
              <w:rPr>
                <w:rFonts w:hint="eastAsia" w:ascii="宋体" w:hAnsi="宋体" w:eastAsia="宋体" w:cs="宋体"/>
                <w:b w:val="0"/>
                <w:bCs w:val="0"/>
                <w:color w:val="auto"/>
                <w:sz w:val="24"/>
                <w:szCs w:val="24"/>
              </w:rPr>
              <w:t>《污水排入城镇下水道水质标准》（GB/T31962-2015）表1中的A级标准</w:t>
            </w:r>
            <w:r>
              <w:rPr>
                <w:rFonts w:hint="eastAsia" w:ascii="宋体" w:hAnsi="宋体" w:eastAsia="宋体" w:cs="宋体"/>
                <w:b w:val="0"/>
                <w:bCs w:val="0"/>
                <w:color w:val="auto"/>
                <w:sz w:val="24"/>
                <w:szCs w:val="24"/>
                <w:lang w:val="en-US" w:eastAsia="zh-CN"/>
              </w:rPr>
              <w:t>限值。</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、本项目污水处理设施的可行可靠性分析</w:t>
            </w:r>
          </w:p>
          <w:p>
            <w:pPr>
              <w:spacing w:line="36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①本</w:t>
            </w:r>
            <w:r>
              <w:rPr>
                <w:rFonts w:hint="eastAsia" w:ascii="宋体" w:hAnsi="宋体" w:eastAsia="宋体" w:cs="宋体"/>
                <w:b w:val="0"/>
                <w:bCs w:val="0"/>
                <w:color w:val="auto"/>
                <w:sz w:val="24"/>
                <w:szCs w:val="24"/>
              </w:rPr>
              <w:t>项目化粪池</w:t>
            </w:r>
            <w:r>
              <w:rPr>
                <w:rFonts w:hint="eastAsia" w:ascii="宋体" w:hAnsi="宋体" w:eastAsia="宋体" w:cs="宋体"/>
                <w:b w:val="0"/>
                <w:bCs w:val="0"/>
                <w:color w:val="auto"/>
                <w:sz w:val="24"/>
                <w:szCs w:val="24"/>
                <w:lang w:eastAsia="zh-CN"/>
              </w:rPr>
              <w:t>预处理</w:t>
            </w:r>
            <w:r>
              <w:rPr>
                <w:rFonts w:hint="eastAsia" w:ascii="宋体" w:hAnsi="宋体" w:eastAsia="宋体" w:cs="宋体"/>
                <w:b w:val="0"/>
                <w:bCs w:val="0"/>
                <w:color w:val="auto"/>
                <w:sz w:val="24"/>
                <w:szCs w:val="24"/>
              </w:rPr>
              <w:t>的可行性分析</w:t>
            </w:r>
          </w:p>
          <w:p>
            <w:pPr>
              <w:autoSpaceDE w:val="0"/>
              <w:autoSpaceDN w:val="0"/>
              <w:adjustRightInd w:val="0"/>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w:t>
            </w:r>
            <w:r>
              <w:rPr>
                <w:rFonts w:hint="eastAsia" w:ascii="宋体" w:hAnsi="宋体" w:eastAsia="宋体" w:cs="宋体"/>
                <w:b w:val="0"/>
                <w:bCs w:val="0"/>
                <w:color w:val="auto"/>
                <w:sz w:val="24"/>
                <w:szCs w:val="24"/>
                <w:lang w:eastAsia="zh-CN"/>
              </w:rPr>
              <w:t>工程分析和</w:t>
            </w:r>
            <w:r>
              <w:rPr>
                <w:rFonts w:hint="eastAsia" w:ascii="宋体" w:hAnsi="宋体" w:eastAsia="宋体" w:cs="宋体"/>
                <w:b w:val="0"/>
                <w:bCs w:val="0"/>
                <w:color w:val="auto"/>
                <w:sz w:val="24"/>
                <w:szCs w:val="24"/>
              </w:rPr>
              <w:t>建设单位提供资料，</w:t>
            </w:r>
            <w:r>
              <w:rPr>
                <w:rFonts w:hint="eastAsia" w:ascii="宋体" w:hAnsi="宋体" w:eastAsia="宋体" w:cs="宋体"/>
                <w:b w:val="0"/>
                <w:bCs w:val="0"/>
                <w:color w:val="auto"/>
                <w:sz w:val="24"/>
                <w:szCs w:val="24"/>
                <w:lang w:val="en-US" w:eastAsia="zh-CN"/>
              </w:rPr>
              <w:t>医院</w:t>
            </w:r>
            <w:r>
              <w:rPr>
                <w:rFonts w:hint="eastAsia" w:ascii="宋体" w:hAnsi="宋体" w:eastAsia="宋体" w:cs="宋体"/>
                <w:b w:val="0"/>
                <w:bCs w:val="0"/>
                <w:color w:val="auto"/>
                <w:sz w:val="24"/>
                <w:szCs w:val="24"/>
                <w:lang w:eastAsia="zh-CN"/>
              </w:rPr>
              <w:t>大楼</w:t>
            </w:r>
            <w:r>
              <w:rPr>
                <w:rFonts w:hint="eastAsia" w:ascii="宋体" w:hAnsi="宋体" w:eastAsia="宋体" w:cs="宋体"/>
                <w:b w:val="0"/>
                <w:bCs w:val="0"/>
                <w:color w:val="auto"/>
                <w:sz w:val="24"/>
                <w:szCs w:val="24"/>
              </w:rPr>
              <w:t>已配备污水收集管网，已有</w:t>
            </w:r>
            <w:r>
              <w:rPr>
                <w:rFonts w:hint="eastAsia" w:ascii="宋体" w:hAnsi="宋体" w:eastAsia="宋体" w:cs="宋体"/>
                <w:b w:val="0"/>
                <w:bCs w:val="0"/>
                <w:color w:val="auto"/>
                <w:sz w:val="24"/>
                <w:szCs w:val="24"/>
                <w:lang w:val="en-US" w:eastAsia="zh-CN"/>
              </w:rPr>
              <w:t>2个</w:t>
            </w:r>
            <w:r>
              <w:rPr>
                <w:rFonts w:hint="eastAsia" w:ascii="宋体" w:hAnsi="宋体" w:eastAsia="宋体" w:cs="宋体"/>
                <w:b w:val="0"/>
                <w:bCs w:val="0"/>
                <w:color w:val="auto"/>
                <w:sz w:val="24"/>
                <w:szCs w:val="24"/>
              </w:rPr>
              <w:t>化粪池</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容积</w:t>
            </w:r>
            <w:r>
              <w:rPr>
                <w:rFonts w:hint="eastAsia" w:ascii="宋体" w:hAnsi="宋体" w:eastAsia="宋体" w:cs="宋体"/>
                <w:b w:val="0"/>
                <w:bCs w:val="0"/>
                <w:color w:val="auto"/>
                <w:sz w:val="24"/>
                <w:szCs w:val="24"/>
                <w:lang w:eastAsia="zh-CN"/>
              </w:rPr>
              <w:t>分别</w:t>
            </w:r>
            <w:r>
              <w:rPr>
                <w:rFonts w:hint="eastAsia" w:ascii="宋体" w:hAnsi="宋体" w:eastAsia="宋体" w:cs="宋体"/>
                <w:b w:val="0"/>
                <w:bCs w:val="0"/>
                <w:color w:val="auto"/>
                <w:sz w:val="24"/>
                <w:szCs w:val="24"/>
              </w:rPr>
              <w:t>为</w:t>
            </w:r>
            <w:r>
              <w:rPr>
                <w:rFonts w:hint="eastAsia" w:ascii="宋体" w:hAnsi="宋体" w:eastAsia="宋体" w:cs="宋体"/>
                <w:b w:val="0"/>
                <w:bCs w:val="0"/>
                <w:color w:val="auto"/>
                <w:sz w:val="24"/>
                <w:szCs w:val="24"/>
                <w:lang w:val="en-US" w:eastAsia="zh-CN"/>
              </w:rPr>
              <w:t>30</w:t>
            </w:r>
            <w:r>
              <w:rPr>
                <w:rFonts w:hint="eastAsia" w:ascii="宋体" w:hAnsi="宋体" w:eastAsia="宋体" w:cs="宋体"/>
                <w:b w:val="0"/>
                <w:bCs w:val="0"/>
                <w:color w:val="auto"/>
                <w:sz w:val="24"/>
                <w:szCs w:val="24"/>
              </w:rPr>
              <w:t>m</w:t>
            </w:r>
            <w:r>
              <w:rPr>
                <w:rFonts w:hint="eastAsia" w:ascii="宋体" w:hAnsi="宋体" w:eastAsia="宋体" w:cs="宋体"/>
                <w:b w:val="0"/>
                <w:bCs w:val="0"/>
                <w:color w:val="auto"/>
                <w:sz w:val="24"/>
                <w:szCs w:val="24"/>
                <w:vertAlign w:val="superscript"/>
              </w:rPr>
              <w:t>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根据《医院污水设计规范》（CECS07:88）中第3.0.4条，污水在化粪池中停留时间不宜小于36h。</w:t>
            </w:r>
            <w:r>
              <w:rPr>
                <w:rFonts w:hint="eastAsia" w:ascii="宋体" w:hAnsi="宋体" w:eastAsia="宋体" w:cs="宋体"/>
                <w:b w:val="0"/>
                <w:bCs w:val="0"/>
                <w:color w:val="auto"/>
                <w:sz w:val="24"/>
                <w:szCs w:val="24"/>
              </w:rPr>
              <w:t>本项目废水产生总量为</w:t>
            </w:r>
            <w:r>
              <w:rPr>
                <w:rFonts w:hint="eastAsia" w:ascii="宋体" w:hAnsi="宋体" w:eastAsia="宋体" w:cs="宋体"/>
                <w:b w:val="0"/>
                <w:bCs w:val="0"/>
                <w:color w:val="auto"/>
                <w:sz w:val="24"/>
                <w:szCs w:val="24"/>
                <w:lang w:val="en-US" w:eastAsia="zh-CN"/>
              </w:rPr>
              <w:t>6.968</w:t>
            </w:r>
            <w:r>
              <w:rPr>
                <w:rFonts w:hint="eastAsia" w:ascii="宋体" w:hAnsi="宋体" w:eastAsia="宋体" w:cs="宋体"/>
                <w:b w:val="0"/>
                <w:bCs w:val="0"/>
                <w:color w:val="auto"/>
                <w:sz w:val="24"/>
                <w:szCs w:val="24"/>
                <w:lang w:eastAsia="zh-CN"/>
              </w:rPr>
              <w:t>m³</w:t>
            </w:r>
            <w:r>
              <w:rPr>
                <w:rFonts w:hint="eastAsia" w:ascii="宋体" w:hAnsi="宋体" w:eastAsia="宋体" w:cs="宋体"/>
                <w:b w:val="0"/>
                <w:bCs w:val="0"/>
                <w:color w:val="auto"/>
                <w:sz w:val="24"/>
                <w:szCs w:val="24"/>
              </w:rPr>
              <w:t>/d</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本项目所依托的2个化粪池，能够满足废水在</w:t>
            </w:r>
            <w:r>
              <w:rPr>
                <w:rFonts w:hint="eastAsia" w:ascii="宋体" w:hAnsi="宋体" w:eastAsia="宋体" w:cs="宋体"/>
                <w:b w:val="0"/>
                <w:bCs w:val="0"/>
                <w:color w:val="auto"/>
                <w:sz w:val="24"/>
                <w:szCs w:val="24"/>
              </w:rPr>
              <w:t>化粪池</w:t>
            </w:r>
            <w:r>
              <w:rPr>
                <w:rFonts w:hint="eastAsia" w:ascii="宋体" w:hAnsi="宋体" w:eastAsia="宋体" w:cs="宋体"/>
                <w:b w:val="0"/>
                <w:bCs w:val="0"/>
                <w:color w:val="auto"/>
                <w:sz w:val="24"/>
                <w:szCs w:val="24"/>
                <w:lang w:val="en-US" w:eastAsia="zh-CN"/>
              </w:rPr>
              <w:t>内有效停留36小时。</w:t>
            </w:r>
            <w:r>
              <w:rPr>
                <w:rFonts w:hint="eastAsia" w:ascii="宋体" w:hAnsi="宋体" w:eastAsia="宋体" w:cs="宋体"/>
                <w:b w:val="0"/>
                <w:bCs w:val="0"/>
                <w:color w:val="auto"/>
                <w:sz w:val="24"/>
                <w:szCs w:val="24"/>
              </w:rPr>
              <w:t>故本项目</w:t>
            </w:r>
            <w:r>
              <w:rPr>
                <w:rFonts w:hint="eastAsia" w:ascii="宋体" w:hAnsi="宋体" w:eastAsia="宋体" w:cs="宋体"/>
                <w:b w:val="0"/>
                <w:bCs w:val="0"/>
                <w:color w:val="auto"/>
                <w:sz w:val="24"/>
                <w:szCs w:val="24"/>
                <w:lang w:val="en-US" w:eastAsia="zh-CN"/>
              </w:rPr>
              <w:t>化粪池处理可行</w:t>
            </w:r>
            <w:r>
              <w:rPr>
                <w:rFonts w:hint="eastAsia" w:ascii="宋体" w:hAnsi="宋体" w:eastAsia="宋体" w:cs="宋体"/>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fldChar w:fldCharType="begin"/>
            </w:r>
            <w:r>
              <w:rPr>
                <w:rFonts w:hint="eastAsia" w:ascii="宋体" w:hAnsi="宋体" w:eastAsia="宋体" w:cs="宋体"/>
                <w:b w:val="0"/>
                <w:bCs w:val="0"/>
                <w:color w:val="auto"/>
                <w:sz w:val="24"/>
                <w:szCs w:val="24"/>
                <w:lang w:eastAsia="zh-CN"/>
              </w:rPr>
              <w:instrText xml:space="preserve"> = 2 \* GB3 \* MERGEFORMAT </w:instrText>
            </w:r>
            <w:r>
              <w:rPr>
                <w:rFonts w:hint="eastAsia" w:ascii="宋体" w:hAnsi="宋体" w:eastAsia="宋体" w:cs="宋体"/>
                <w:b w:val="0"/>
                <w:bCs w:val="0"/>
                <w:color w:val="auto"/>
                <w:sz w:val="24"/>
                <w:szCs w:val="24"/>
                <w:lang w:eastAsia="zh-CN"/>
              </w:rPr>
              <w:fldChar w:fldCharType="separate"/>
            </w:r>
            <w:r>
              <w:rPr>
                <w:rFonts w:hint="eastAsia" w:ascii="宋体" w:hAnsi="宋体" w:eastAsia="宋体" w:cs="宋体"/>
                <w:b w:val="0"/>
                <w:bCs w:val="0"/>
                <w:color w:val="auto"/>
                <w:sz w:val="24"/>
                <w:szCs w:val="24"/>
                <w:lang w:eastAsia="zh-CN"/>
              </w:rPr>
              <w:t>②</w:t>
            </w:r>
            <w:r>
              <w:rPr>
                <w:rFonts w:hint="eastAsia" w:ascii="宋体" w:hAnsi="宋体" w:eastAsia="宋体" w:cs="宋体"/>
                <w:b w:val="0"/>
                <w:bCs w:val="0"/>
                <w:color w:val="auto"/>
                <w:sz w:val="24"/>
                <w:szCs w:val="24"/>
                <w:lang w:eastAsia="zh-CN"/>
              </w:rPr>
              <w:fldChar w:fldCharType="end"/>
            </w:r>
            <w:r>
              <w:rPr>
                <w:rFonts w:hint="eastAsia" w:ascii="宋体" w:hAnsi="宋体" w:eastAsia="宋体" w:cs="宋体"/>
                <w:b w:val="0"/>
                <w:bCs w:val="0"/>
                <w:color w:val="auto"/>
                <w:sz w:val="24"/>
                <w:szCs w:val="24"/>
                <w:lang w:val="en-US" w:eastAsia="zh-CN"/>
              </w:rPr>
              <w:t>检验室废水处理设施的</w:t>
            </w:r>
            <w:r>
              <w:rPr>
                <w:rFonts w:hint="eastAsia" w:ascii="宋体" w:hAnsi="宋体" w:eastAsia="宋体" w:cs="宋体"/>
                <w:b w:val="0"/>
                <w:bCs w:val="0"/>
                <w:color w:val="auto"/>
                <w:sz w:val="24"/>
                <w:szCs w:val="24"/>
              </w:rPr>
              <w:t>可行性分析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本</w:t>
            </w:r>
            <w:r>
              <w:rPr>
                <w:rFonts w:hint="eastAsia" w:ascii="宋体" w:hAnsi="宋体" w:eastAsia="宋体" w:cs="宋体"/>
                <w:b w:val="0"/>
                <w:bCs w:val="0"/>
                <w:color w:val="auto"/>
                <w:sz w:val="24"/>
                <w:szCs w:val="24"/>
              </w:rPr>
              <w:t>项目设有</w:t>
            </w:r>
            <w:r>
              <w:rPr>
                <w:rFonts w:hint="eastAsia" w:ascii="宋体" w:hAnsi="宋体" w:eastAsia="宋体" w:cs="宋体"/>
                <w:b w:val="0"/>
                <w:bCs w:val="0"/>
                <w:color w:val="auto"/>
                <w:sz w:val="24"/>
                <w:szCs w:val="24"/>
                <w:lang w:val="en-US" w:eastAsia="zh-CN"/>
              </w:rPr>
              <w:t>检验室</w:t>
            </w:r>
            <w:r>
              <w:rPr>
                <w:rFonts w:hint="eastAsia" w:ascii="宋体" w:hAnsi="宋体" w:eastAsia="宋体" w:cs="宋体"/>
                <w:b w:val="0"/>
                <w:bCs w:val="0"/>
                <w:color w:val="auto"/>
                <w:sz w:val="24"/>
                <w:szCs w:val="24"/>
              </w:rPr>
              <w:t>，血液检查化验时，使用的酸性物质等化学品，有少量酸性废水产生。项目区化验室废水产生量较小</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为0.08m³/d</w:t>
            </w:r>
            <w:r>
              <w:rPr>
                <w:rFonts w:hint="eastAsia" w:ascii="宋体" w:hAnsi="宋体" w:eastAsia="宋体" w:cs="宋体"/>
                <w:b w:val="0"/>
                <w:bCs w:val="0"/>
                <w:color w:val="auto"/>
                <w:sz w:val="24"/>
                <w:szCs w:val="24"/>
              </w:rPr>
              <w:t>。</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根据《医院污水处理工程技术规范》（HJ2029-2013），酸性废水采用中和法。检验室废水主要由酸性废水组成</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环评要求</w:t>
            </w:r>
            <w:r>
              <w:rPr>
                <w:rFonts w:hint="eastAsia" w:ascii="宋体" w:hAnsi="宋体" w:eastAsia="宋体" w:cs="宋体"/>
                <w:b w:val="0"/>
                <w:bCs w:val="0"/>
                <w:color w:val="auto"/>
                <w:sz w:val="24"/>
                <w:szCs w:val="24"/>
              </w:rPr>
              <w:t>项目使用专门的检验科废水</w:t>
            </w:r>
            <w:r>
              <w:rPr>
                <w:rFonts w:hint="eastAsia" w:ascii="宋体" w:hAnsi="宋体" w:eastAsia="宋体" w:cs="宋体"/>
                <w:b w:val="0"/>
                <w:bCs w:val="0"/>
                <w:color w:val="auto"/>
                <w:sz w:val="24"/>
                <w:szCs w:val="24"/>
                <w:lang w:eastAsia="zh-CN"/>
              </w:rPr>
              <w:t>处理</w:t>
            </w:r>
            <w:r>
              <w:rPr>
                <w:rFonts w:hint="eastAsia" w:ascii="宋体" w:hAnsi="宋体" w:eastAsia="宋体" w:cs="宋体"/>
                <w:b w:val="0"/>
                <w:bCs w:val="0"/>
                <w:color w:val="auto"/>
                <w:sz w:val="24"/>
                <w:szCs w:val="24"/>
              </w:rPr>
              <w:t>桶</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0.1m³）</w:t>
            </w:r>
            <w:r>
              <w:rPr>
                <w:rFonts w:hint="eastAsia" w:ascii="宋体" w:hAnsi="宋体" w:eastAsia="宋体" w:cs="宋体"/>
                <w:b w:val="0"/>
                <w:bCs w:val="0"/>
                <w:color w:val="auto"/>
                <w:sz w:val="24"/>
                <w:szCs w:val="24"/>
              </w:rPr>
              <w:t>进行收集后，投加</w:t>
            </w:r>
            <w:r>
              <w:rPr>
                <w:rFonts w:hint="eastAsia" w:ascii="宋体" w:hAnsi="宋体" w:eastAsia="宋体" w:cs="宋体"/>
                <w:b w:val="0"/>
                <w:bCs w:val="0"/>
                <w:color w:val="auto"/>
                <w:sz w:val="24"/>
                <w:szCs w:val="24"/>
                <w:lang w:eastAsia="zh-CN"/>
              </w:rPr>
              <w:t>含氯消毒</w:t>
            </w:r>
            <w:r>
              <w:rPr>
                <w:rFonts w:hint="eastAsia" w:ascii="宋体" w:hAnsi="宋体" w:eastAsia="宋体" w:cs="宋体"/>
                <w:b w:val="0"/>
                <w:bCs w:val="0"/>
                <w:color w:val="auto"/>
                <w:sz w:val="24"/>
                <w:szCs w:val="24"/>
              </w:rPr>
              <w:t>液进行消毒后再加入</w:t>
            </w:r>
            <w:r>
              <w:rPr>
                <w:rFonts w:hint="eastAsia" w:ascii="宋体" w:hAnsi="宋体" w:eastAsia="宋体" w:cs="宋体"/>
                <w:b w:val="0"/>
                <w:bCs w:val="0"/>
                <w:color w:val="auto"/>
                <w:sz w:val="24"/>
                <w:szCs w:val="24"/>
                <w:lang w:eastAsia="zh-CN"/>
              </w:rPr>
              <w:t>碱性</w:t>
            </w:r>
            <w:r>
              <w:rPr>
                <w:rFonts w:hint="eastAsia" w:ascii="宋体" w:hAnsi="宋体" w:eastAsia="宋体" w:cs="宋体"/>
                <w:b w:val="0"/>
                <w:bCs w:val="0"/>
                <w:color w:val="auto"/>
                <w:sz w:val="24"/>
                <w:szCs w:val="24"/>
              </w:rPr>
              <w:t>溶液进行中和处理，</w:t>
            </w:r>
            <w:r>
              <w:rPr>
                <w:rFonts w:hint="eastAsia" w:ascii="宋体" w:hAnsi="宋体" w:eastAsia="宋体" w:cs="宋体"/>
                <w:b w:val="0"/>
                <w:bCs w:val="0"/>
                <w:color w:val="auto"/>
                <w:sz w:val="24"/>
                <w:szCs w:val="24"/>
                <w:lang w:val="en-US" w:eastAsia="zh-CN"/>
              </w:rPr>
              <w:t>然后</w:t>
            </w:r>
            <w:r>
              <w:rPr>
                <w:rFonts w:hint="eastAsia" w:ascii="宋体" w:hAnsi="宋体" w:eastAsia="宋体" w:cs="宋体"/>
                <w:b w:val="0"/>
                <w:bCs w:val="0"/>
                <w:color w:val="auto"/>
                <w:sz w:val="24"/>
                <w:szCs w:val="24"/>
              </w:rPr>
              <w:t>进入化粪池</w:t>
            </w:r>
            <w:r>
              <w:rPr>
                <w:rFonts w:hint="eastAsia" w:ascii="宋体" w:hAnsi="宋体" w:eastAsia="宋体" w:cs="宋体"/>
                <w:b w:val="0"/>
                <w:bCs w:val="0"/>
                <w:color w:val="auto"/>
                <w:sz w:val="24"/>
                <w:szCs w:val="24"/>
                <w:lang w:val="en-US" w:eastAsia="zh-CN"/>
              </w:rPr>
              <w:t>处理</w:t>
            </w:r>
            <w:r>
              <w:rPr>
                <w:rFonts w:hint="eastAsia" w:ascii="宋体" w:hAnsi="宋体" w:eastAsia="宋体" w:cs="宋体"/>
                <w:b w:val="0"/>
                <w:bCs w:val="0"/>
                <w:color w:val="auto"/>
                <w:sz w:val="24"/>
                <w:szCs w:val="24"/>
              </w:rPr>
              <w:t>后排入</w:t>
            </w:r>
            <w:r>
              <w:rPr>
                <w:rFonts w:hint="eastAsia" w:ascii="宋体" w:hAnsi="宋体" w:eastAsia="宋体" w:cs="宋体"/>
                <w:b w:val="0"/>
                <w:bCs w:val="0"/>
                <w:color w:val="auto"/>
                <w:sz w:val="24"/>
                <w:szCs w:val="24"/>
                <w:lang w:eastAsia="zh-CN"/>
              </w:rPr>
              <w:t>一体化</w:t>
            </w:r>
            <w:r>
              <w:rPr>
                <w:rFonts w:hint="eastAsia" w:ascii="宋体" w:hAnsi="宋体" w:eastAsia="宋体" w:cs="宋体"/>
                <w:b w:val="0"/>
                <w:bCs w:val="0"/>
                <w:color w:val="auto"/>
                <w:sz w:val="24"/>
                <w:szCs w:val="24"/>
              </w:rPr>
              <w:t>污水处理</w:t>
            </w:r>
            <w:r>
              <w:rPr>
                <w:rFonts w:hint="eastAsia" w:ascii="宋体" w:hAnsi="宋体" w:eastAsia="宋体" w:cs="宋体"/>
                <w:b w:val="0"/>
                <w:bCs w:val="0"/>
                <w:color w:val="auto"/>
                <w:sz w:val="24"/>
                <w:szCs w:val="24"/>
                <w:lang w:eastAsia="zh-CN"/>
              </w:rPr>
              <w:t>设施，</w:t>
            </w:r>
            <w:r>
              <w:rPr>
                <w:rFonts w:hint="eastAsia" w:ascii="宋体" w:hAnsi="宋体" w:eastAsia="宋体" w:cs="宋体"/>
                <w:b w:val="0"/>
                <w:bCs w:val="0"/>
                <w:color w:val="auto"/>
                <w:sz w:val="24"/>
                <w:szCs w:val="24"/>
              </w:rPr>
              <w:t>符合规范要求。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③本项目</w:t>
            </w:r>
            <w:r>
              <w:rPr>
                <w:rFonts w:hint="eastAsia" w:ascii="宋体" w:hAnsi="宋体" w:eastAsia="宋体" w:cs="宋体"/>
                <w:b w:val="0"/>
                <w:bCs w:val="0"/>
                <w:color w:val="auto"/>
                <w:sz w:val="24"/>
                <w:szCs w:val="24"/>
                <w:lang w:val="en-US" w:eastAsia="zh-CN"/>
              </w:rPr>
              <w:t>医疗</w:t>
            </w:r>
            <w:r>
              <w:rPr>
                <w:rFonts w:hint="eastAsia" w:ascii="宋体" w:hAnsi="宋体" w:eastAsia="宋体" w:cs="宋体"/>
                <w:b w:val="0"/>
                <w:bCs w:val="0"/>
                <w:color w:val="auto"/>
                <w:sz w:val="24"/>
                <w:szCs w:val="24"/>
                <w:lang w:eastAsia="zh-CN"/>
              </w:rPr>
              <w:t>废水经污水处理设施处理可行性分析</w:t>
            </w:r>
          </w:p>
          <w:p>
            <w:pPr>
              <w:spacing w:line="360" w:lineRule="auto"/>
              <w:ind w:firstLine="480" w:firstLineChars="200"/>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根据本项目实际运营情况，</w:t>
            </w:r>
            <w:r>
              <w:rPr>
                <w:rFonts w:hint="eastAsia" w:ascii="宋体" w:hAnsi="宋体" w:eastAsia="宋体" w:cs="宋体"/>
                <w:b w:val="0"/>
                <w:bCs w:val="0"/>
                <w:color w:val="auto"/>
                <w:sz w:val="24"/>
                <w:szCs w:val="24"/>
              </w:rPr>
              <w:t>医院污水处理</w:t>
            </w:r>
            <w:r>
              <w:rPr>
                <w:rFonts w:hint="eastAsia" w:ascii="宋体" w:hAnsi="宋体" w:eastAsia="宋体" w:cs="宋体"/>
                <w:b w:val="0"/>
                <w:bCs w:val="0"/>
                <w:color w:val="auto"/>
                <w:sz w:val="24"/>
                <w:szCs w:val="24"/>
                <w:lang w:val="en-US" w:eastAsia="zh-CN"/>
              </w:rPr>
              <w:t>设施</w:t>
            </w:r>
            <w:r>
              <w:rPr>
                <w:rFonts w:hint="eastAsia" w:ascii="宋体" w:hAnsi="宋体" w:eastAsia="宋体" w:cs="宋体"/>
                <w:b w:val="0"/>
                <w:bCs w:val="0"/>
                <w:color w:val="auto"/>
                <w:sz w:val="24"/>
                <w:szCs w:val="24"/>
              </w:rPr>
              <w:t>工艺采用二级生化处理+消毒工艺，污水处理生化处理工艺选用</w:t>
            </w:r>
            <w:r>
              <w:rPr>
                <w:rFonts w:hint="eastAsia" w:ascii="宋体" w:hAnsi="宋体" w:eastAsia="宋体" w:cs="宋体"/>
                <w:b w:val="0"/>
                <w:bCs w:val="0"/>
                <w:color w:val="auto"/>
                <w:sz w:val="24"/>
                <w:szCs w:val="24"/>
                <w:lang w:val="en-US" w:eastAsia="zh-CN"/>
              </w:rPr>
              <w:t>AO+</w:t>
            </w:r>
            <w:r>
              <w:rPr>
                <w:rFonts w:hint="eastAsia" w:ascii="宋体" w:hAnsi="宋体" w:eastAsia="宋体" w:cs="宋体"/>
                <w:b w:val="0"/>
                <w:bCs w:val="0"/>
                <w:color w:val="auto"/>
                <w:sz w:val="24"/>
                <w:szCs w:val="24"/>
              </w:rPr>
              <w:t>生物接触氧化工艺，消毒技术使用</w:t>
            </w:r>
            <w:r>
              <w:rPr>
                <w:rFonts w:hint="eastAsia" w:ascii="宋体" w:hAnsi="宋体" w:eastAsia="宋体" w:cs="宋体"/>
                <w:b w:val="0"/>
                <w:bCs w:val="0"/>
                <w:color w:val="auto"/>
                <w:sz w:val="24"/>
                <w:szCs w:val="24"/>
                <w:lang w:val="en-US" w:eastAsia="zh-CN"/>
              </w:rPr>
              <w:t>臭氧消毒</w:t>
            </w:r>
            <w:r>
              <w:rPr>
                <w:rFonts w:hint="eastAsia" w:ascii="宋体" w:hAnsi="宋体" w:eastAsia="宋体" w:cs="宋体"/>
                <w:b w:val="0"/>
                <w:bCs w:val="0"/>
                <w:color w:val="auto"/>
                <w:sz w:val="24"/>
                <w:szCs w:val="24"/>
              </w:rPr>
              <w:t>工艺</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符合《医院污水处理工程技术规范》（HJ2029-2013）的要求。</w:t>
            </w:r>
            <w:r>
              <w:rPr>
                <w:rFonts w:hint="eastAsia" w:ascii="宋体" w:hAnsi="宋体" w:eastAsia="宋体" w:cs="宋体"/>
                <w:b w:val="0"/>
                <w:bCs w:val="0"/>
                <w:color w:val="auto"/>
                <w:sz w:val="24"/>
                <w:szCs w:val="24"/>
                <w:lang w:val="en-US" w:eastAsia="zh-CN"/>
              </w:rPr>
              <w:t>项目运营期综合医疗废水产生量为</w:t>
            </w:r>
            <w:r>
              <w:rPr>
                <w:rFonts w:hint="eastAsia" w:ascii="宋体" w:hAnsi="宋体" w:eastAsia="宋体" w:cs="宋体"/>
                <w:color w:val="auto"/>
                <w:sz w:val="24"/>
                <w:szCs w:val="24"/>
                <w:lang w:val="en-US" w:eastAsia="zh-CN"/>
              </w:rPr>
              <w:t>7.602</w:t>
            </w:r>
            <w:r>
              <w:rPr>
                <w:rFonts w:hint="eastAsia" w:ascii="宋体" w:hAnsi="宋体" w:eastAsia="宋体" w:cs="宋体"/>
                <w:b w:val="0"/>
                <w:bCs w:val="0"/>
                <w:color w:val="auto"/>
                <w:sz w:val="24"/>
                <w:szCs w:val="24"/>
              </w:rPr>
              <w:t>m</w:t>
            </w:r>
            <w:r>
              <w:rPr>
                <w:rFonts w:hint="eastAsia" w:ascii="宋体" w:hAnsi="宋体" w:eastAsia="宋体" w:cs="宋体"/>
                <w:b w:val="0"/>
                <w:bCs w:val="0"/>
                <w:color w:val="auto"/>
                <w:sz w:val="24"/>
                <w:szCs w:val="24"/>
                <w:vertAlign w:val="superscript"/>
              </w:rPr>
              <w:t>3</w:t>
            </w:r>
            <w:r>
              <w:rPr>
                <w:rFonts w:hint="eastAsia" w:ascii="宋体" w:hAnsi="宋体" w:eastAsia="宋体" w:cs="宋体"/>
                <w:b w:val="0"/>
                <w:bCs w:val="0"/>
                <w:color w:val="auto"/>
                <w:sz w:val="24"/>
                <w:szCs w:val="24"/>
              </w:rPr>
              <w:t>/d</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根据</w:t>
            </w:r>
            <w:r>
              <w:rPr>
                <w:rFonts w:hint="eastAsia" w:ascii="宋体" w:hAnsi="宋体" w:eastAsia="宋体" w:cs="宋体"/>
                <w:b w:val="0"/>
                <w:bCs w:val="0"/>
                <w:color w:val="auto"/>
                <w:sz w:val="24"/>
                <w:szCs w:val="24"/>
                <w:lang w:val="en-US" w:eastAsia="zh-CN"/>
              </w:rPr>
              <w:t>建设单位核实本项目</w:t>
            </w:r>
            <w:r>
              <w:rPr>
                <w:rFonts w:hint="eastAsia" w:ascii="宋体" w:hAnsi="宋体" w:eastAsia="宋体" w:cs="宋体"/>
                <w:b w:val="0"/>
                <w:bCs w:val="0"/>
                <w:color w:val="auto"/>
                <w:sz w:val="24"/>
                <w:szCs w:val="24"/>
              </w:rPr>
              <w:t>污水处理</w:t>
            </w:r>
            <w:r>
              <w:rPr>
                <w:rFonts w:hint="eastAsia" w:ascii="宋体" w:hAnsi="宋体" w:eastAsia="宋体" w:cs="宋体"/>
                <w:b w:val="0"/>
                <w:bCs w:val="0"/>
                <w:color w:val="auto"/>
                <w:sz w:val="24"/>
                <w:szCs w:val="24"/>
                <w:lang w:eastAsia="zh-CN"/>
              </w:rPr>
              <w:t>设施</w:t>
            </w:r>
            <w:r>
              <w:rPr>
                <w:rFonts w:hint="eastAsia" w:ascii="宋体" w:hAnsi="宋体" w:eastAsia="宋体" w:cs="宋体"/>
                <w:b w:val="0"/>
                <w:bCs w:val="0"/>
                <w:color w:val="auto"/>
                <w:sz w:val="24"/>
                <w:szCs w:val="24"/>
              </w:rPr>
              <w:t>的处理规模为</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m</w:t>
            </w:r>
            <w:r>
              <w:rPr>
                <w:rFonts w:hint="eastAsia" w:ascii="宋体" w:hAnsi="宋体" w:eastAsia="宋体" w:cs="宋体"/>
                <w:b w:val="0"/>
                <w:bCs w:val="0"/>
                <w:color w:val="auto"/>
                <w:sz w:val="24"/>
                <w:szCs w:val="24"/>
                <w:vertAlign w:val="superscript"/>
              </w:rPr>
              <w:t>3</w:t>
            </w:r>
            <w:r>
              <w:rPr>
                <w:rFonts w:hint="eastAsia" w:ascii="宋体" w:hAnsi="宋体" w:eastAsia="宋体" w:cs="宋体"/>
                <w:b w:val="0"/>
                <w:bCs w:val="0"/>
                <w:color w:val="auto"/>
                <w:sz w:val="24"/>
                <w:szCs w:val="24"/>
              </w:rPr>
              <w:t>/d</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能够达到处理规模要求。</w:t>
            </w:r>
          </w:p>
          <w:p>
            <w:pPr>
              <w:adjustRightInd w:val="0"/>
              <w:snapToGrid w:val="0"/>
              <w:spacing w:line="360" w:lineRule="auto"/>
              <w:ind w:firstLine="482"/>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污水进入</w:t>
            </w:r>
            <w:r>
              <w:rPr>
                <w:rFonts w:hint="eastAsia" w:ascii="宋体" w:hAnsi="宋体" w:eastAsia="宋体" w:cs="宋体"/>
                <w:b w:val="0"/>
                <w:bCs w:val="0"/>
                <w:color w:val="auto"/>
                <w:sz w:val="24"/>
                <w:szCs w:val="24"/>
                <w:lang w:val="en-US" w:eastAsia="zh-CN"/>
              </w:rPr>
              <w:t>勐海县污水处理厂</w:t>
            </w:r>
            <w:r>
              <w:rPr>
                <w:rFonts w:hint="eastAsia" w:ascii="宋体" w:hAnsi="宋体" w:eastAsia="宋体" w:cs="宋体"/>
                <w:b w:val="0"/>
                <w:bCs w:val="0"/>
                <w:color w:val="auto"/>
                <w:sz w:val="24"/>
                <w:szCs w:val="24"/>
              </w:rPr>
              <w:t>的可行性分析</w:t>
            </w:r>
          </w:p>
          <w:p>
            <w:pPr>
              <w:adjustRightInd w:val="0"/>
              <w:snapToGrid w:val="0"/>
              <w:spacing w:line="360" w:lineRule="auto"/>
              <w:ind w:firstLine="482"/>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lang w:val="en-US" w:eastAsia="zh-CN"/>
              </w:rPr>
              <w:t>勐海县污水处理厂</w:t>
            </w:r>
            <w:r>
              <w:rPr>
                <w:rFonts w:hint="eastAsia" w:ascii="宋体" w:hAnsi="宋体" w:eastAsia="宋体" w:cs="宋体"/>
                <w:b w:val="0"/>
                <w:bCs w:val="0"/>
                <w:color w:val="auto"/>
                <w:kern w:val="0"/>
                <w:sz w:val="24"/>
                <w:szCs w:val="24"/>
                <w:lang w:bidi="ar"/>
              </w:rPr>
              <w:t>坐落于勐海县西北侧</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曼兴村老景勐公路西侧）约4km处</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工程于2012年5月开工建设，2012年12月建成投入使用。</w:t>
            </w:r>
            <w:r>
              <w:rPr>
                <w:rFonts w:hint="eastAsia" w:ascii="宋体" w:hAnsi="宋体" w:cs="宋体"/>
                <w:b w:val="0"/>
                <w:bCs w:val="0"/>
                <w:color w:val="auto"/>
                <w:kern w:val="0"/>
                <w:sz w:val="24"/>
                <w:szCs w:val="24"/>
                <w:lang w:val="en-US" w:eastAsia="zh-CN" w:bidi="ar"/>
              </w:rPr>
              <w:t>现实际</w:t>
            </w:r>
            <w:r>
              <w:rPr>
                <w:rFonts w:hint="eastAsia" w:ascii="宋体" w:hAnsi="宋体" w:eastAsia="宋体" w:cs="宋体"/>
                <w:b w:val="0"/>
                <w:bCs w:val="0"/>
                <w:color w:val="auto"/>
                <w:kern w:val="0"/>
                <w:sz w:val="24"/>
                <w:szCs w:val="24"/>
                <w:lang w:bidi="ar"/>
              </w:rPr>
              <w:t>处理规模为</w:t>
            </w:r>
            <w:r>
              <w:rPr>
                <w:rFonts w:hint="eastAsia" w:ascii="宋体" w:hAnsi="宋体" w:cs="宋体"/>
                <w:b w:val="0"/>
                <w:bCs w:val="0"/>
                <w:color w:val="auto"/>
                <w:kern w:val="0"/>
                <w:sz w:val="24"/>
                <w:szCs w:val="24"/>
                <w:lang w:val="en-US" w:eastAsia="zh-CN" w:bidi="ar"/>
              </w:rPr>
              <w:t>1</w:t>
            </w:r>
            <w:r>
              <w:rPr>
                <w:rFonts w:hint="eastAsia" w:ascii="宋体" w:hAnsi="宋体" w:eastAsia="宋体" w:cs="宋体"/>
                <w:b w:val="0"/>
                <w:bCs w:val="0"/>
                <w:color w:val="auto"/>
                <w:kern w:val="0"/>
                <w:sz w:val="24"/>
                <w:szCs w:val="24"/>
                <w:lang w:bidi="ar"/>
              </w:rPr>
              <w:t>万吨/天，采用A</w:t>
            </w:r>
            <w:r>
              <w:rPr>
                <w:rFonts w:hint="eastAsia" w:ascii="宋体" w:hAnsi="宋体" w:eastAsia="宋体" w:cs="宋体"/>
                <w:b w:val="0"/>
                <w:bCs w:val="0"/>
                <w:color w:val="auto"/>
                <w:kern w:val="0"/>
                <w:sz w:val="24"/>
                <w:szCs w:val="24"/>
                <w:vertAlign w:val="superscript"/>
                <w:lang w:bidi="ar"/>
              </w:rPr>
              <w:t>2</w:t>
            </w:r>
            <w:r>
              <w:rPr>
                <w:rFonts w:hint="eastAsia" w:ascii="宋体" w:hAnsi="宋体" w:eastAsia="宋体" w:cs="宋体"/>
                <w:b w:val="0"/>
                <w:bCs w:val="0"/>
                <w:color w:val="auto"/>
                <w:kern w:val="0"/>
                <w:sz w:val="24"/>
                <w:szCs w:val="24"/>
                <w:lang w:bidi="ar"/>
              </w:rPr>
              <w:t>/O，污水经处理达《城镇污水处理厂污染物排放标准》（GB18918-2002）一级标准</w:t>
            </w:r>
            <w:r>
              <w:rPr>
                <w:rFonts w:hint="eastAsia" w:ascii="宋体" w:hAnsi="宋体" w:eastAsia="宋体" w:cs="宋体"/>
                <w:b w:val="0"/>
                <w:bCs w:val="0"/>
                <w:color w:val="auto"/>
                <w:kern w:val="0"/>
                <w:sz w:val="24"/>
                <w:szCs w:val="24"/>
                <w:lang w:val="en-US" w:eastAsia="zh-CN" w:bidi="ar"/>
              </w:rPr>
              <w:t>B</w:t>
            </w:r>
            <w:r>
              <w:rPr>
                <w:rFonts w:hint="eastAsia" w:ascii="宋体" w:hAnsi="宋体" w:eastAsia="宋体" w:cs="宋体"/>
                <w:b w:val="0"/>
                <w:bCs w:val="0"/>
                <w:color w:val="auto"/>
                <w:kern w:val="0"/>
                <w:sz w:val="24"/>
                <w:szCs w:val="24"/>
                <w:lang w:bidi="ar"/>
              </w:rPr>
              <w:t>标准后排入</w:t>
            </w:r>
            <w:r>
              <w:rPr>
                <w:rFonts w:hint="eastAsia" w:ascii="宋体" w:hAnsi="宋体" w:eastAsia="宋体" w:cs="宋体"/>
                <w:b w:val="0"/>
                <w:bCs w:val="0"/>
                <w:color w:val="auto"/>
                <w:kern w:val="0"/>
                <w:sz w:val="24"/>
                <w:szCs w:val="24"/>
                <w:lang w:val="en-US" w:eastAsia="zh-CN" w:bidi="ar"/>
              </w:rPr>
              <w:t>流沙河</w:t>
            </w:r>
            <w:r>
              <w:rPr>
                <w:rFonts w:hint="eastAsia" w:ascii="宋体" w:hAnsi="宋体" w:eastAsia="宋体" w:cs="宋体"/>
                <w:b w:val="0"/>
                <w:bCs w:val="0"/>
                <w:color w:val="auto"/>
                <w:kern w:val="0"/>
                <w:sz w:val="24"/>
                <w:szCs w:val="24"/>
                <w:lang w:bidi="ar"/>
              </w:rPr>
              <w:t>。服务范围为县城规划建成区（新老城区）内的生活污水，不包括勐海县工业园区生活污水。2015年规划服务面积8.4平方公里，规划服务人口5.7万人。2025年规划服务面积15.4平方公里，规划服务人口8.3万人。</w:t>
            </w:r>
          </w:p>
          <w:p>
            <w:pPr>
              <w:adjustRightInd w:val="0"/>
              <w:snapToGrid w:val="0"/>
              <w:spacing w:line="360" w:lineRule="auto"/>
              <w:ind w:firstLine="482"/>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本项目所在区域属于</w:t>
            </w:r>
            <w:r>
              <w:rPr>
                <w:rFonts w:hint="eastAsia" w:ascii="宋体" w:hAnsi="宋体" w:eastAsia="宋体" w:cs="宋体"/>
                <w:b w:val="0"/>
                <w:bCs w:val="0"/>
                <w:color w:val="auto"/>
                <w:sz w:val="24"/>
                <w:szCs w:val="24"/>
                <w:lang w:val="en-US" w:eastAsia="zh-CN"/>
              </w:rPr>
              <w:t>勐海县污水处理厂</w:t>
            </w:r>
            <w:r>
              <w:rPr>
                <w:rFonts w:hint="eastAsia" w:ascii="宋体" w:hAnsi="宋体" w:eastAsia="宋体" w:cs="宋体"/>
                <w:b w:val="0"/>
                <w:bCs w:val="0"/>
                <w:color w:val="auto"/>
                <w:kern w:val="0"/>
                <w:sz w:val="24"/>
                <w:szCs w:val="24"/>
                <w:lang w:bidi="ar"/>
              </w:rPr>
              <w:t>纳污范围，且本项目污水总排放量仅占</w:t>
            </w:r>
            <w:r>
              <w:rPr>
                <w:rFonts w:hint="eastAsia" w:ascii="宋体" w:hAnsi="宋体" w:eastAsia="宋体" w:cs="宋体"/>
                <w:b w:val="0"/>
                <w:bCs w:val="0"/>
                <w:color w:val="auto"/>
                <w:sz w:val="24"/>
                <w:szCs w:val="24"/>
                <w:lang w:val="en-US" w:eastAsia="zh-CN"/>
              </w:rPr>
              <w:t>污水处理</w:t>
            </w:r>
            <w:r>
              <w:rPr>
                <w:rFonts w:hint="eastAsia" w:ascii="宋体" w:hAnsi="宋体" w:eastAsia="宋体" w:cs="宋体"/>
                <w:b w:val="0"/>
                <w:bCs w:val="0"/>
                <w:color w:val="auto"/>
                <w:kern w:val="0"/>
                <w:sz w:val="24"/>
                <w:szCs w:val="24"/>
                <w:lang w:bidi="ar"/>
              </w:rPr>
              <w:t>厂处理能力的0.0</w:t>
            </w:r>
            <w:r>
              <w:rPr>
                <w:rFonts w:hint="eastAsia" w:ascii="宋体" w:hAnsi="宋体" w:eastAsia="宋体" w:cs="宋体"/>
                <w:b w:val="0"/>
                <w:bCs w:val="0"/>
                <w:color w:val="auto"/>
                <w:kern w:val="0"/>
                <w:sz w:val="24"/>
                <w:szCs w:val="24"/>
                <w:lang w:val="en-US" w:eastAsia="zh-CN" w:bidi="ar"/>
              </w:rPr>
              <w:t>5</w:t>
            </w:r>
            <w:r>
              <w:rPr>
                <w:rFonts w:hint="eastAsia" w:ascii="宋体" w:hAnsi="宋体" w:eastAsia="宋体" w:cs="宋体"/>
                <w:b w:val="0"/>
                <w:bCs w:val="0"/>
                <w:color w:val="auto"/>
                <w:kern w:val="0"/>
                <w:sz w:val="24"/>
                <w:szCs w:val="24"/>
                <w:lang w:bidi="ar"/>
              </w:rPr>
              <w:t>%</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此外废水中污染物主要为COD、BOD</w:t>
            </w:r>
            <w:r>
              <w:rPr>
                <w:rFonts w:hint="eastAsia" w:ascii="宋体" w:hAnsi="宋体" w:eastAsia="宋体" w:cs="宋体"/>
                <w:b w:val="0"/>
                <w:bCs w:val="0"/>
                <w:color w:val="auto"/>
                <w:kern w:val="0"/>
                <w:sz w:val="24"/>
                <w:szCs w:val="24"/>
                <w:vertAlign w:val="subscript"/>
                <w:lang w:bidi="ar"/>
              </w:rPr>
              <w:t>5</w:t>
            </w:r>
            <w:r>
              <w:rPr>
                <w:rFonts w:hint="eastAsia" w:ascii="宋体" w:hAnsi="宋体" w:eastAsia="宋体" w:cs="宋体"/>
                <w:b w:val="0"/>
                <w:bCs w:val="0"/>
                <w:color w:val="auto"/>
                <w:kern w:val="0"/>
                <w:sz w:val="24"/>
                <w:szCs w:val="24"/>
                <w:lang w:bidi="ar"/>
              </w:rPr>
              <w:t>、SS、氨氮、总磷和粪大肠菌群数等，污染物浓度和种类与生活污水相近，经采用污水处理设备处理后的水质能达到</w:t>
            </w:r>
            <w:r>
              <w:rPr>
                <w:rFonts w:hint="eastAsia" w:ascii="宋体" w:hAnsi="宋体" w:eastAsia="宋体" w:cs="宋体"/>
                <w:b w:val="0"/>
                <w:bCs w:val="0"/>
                <w:color w:val="auto"/>
                <w:sz w:val="24"/>
                <w:szCs w:val="24"/>
                <w:lang w:val="en-US" w:eastAsia="zh-CN"/>
              </w:rPr>
              <w:t>勐海县污水处理厂</w:t>
            </w:r>
            <w:r>
              <w:rPr>
                <w:rFonts w:hint="eastAsia" w:ascii="宋体" w:hAnsi="宋体" w:eastAsia="宋体" w:cs="宋体"/>
                <w:b w:val="0"/>
                <w:bCs w:val="0"/>
                <w:color w:val="auto"/>
                <w:kern w:val="0"/>
                <w:sz w:val="24"/>
                <w:szCs w:val="24"/>
                <w:lang w:bidi="ar"/>
              </w:rPr>
              <w:t>对进水水质的要求。同时，本项目片区管网设施齐全，运行过程中经处理达标的污水排入市政污水管网，再进入</w:t>
            </w:r>
            <w:r>
              <w:rPr>
                <w:rFonts w:hint="eastAsia" w:ascii="宋体" w:hAnsi="宋体" w:eastAsia="宋体" w:cs="宋体"/>
                <w:b w:val="0"/>
                <w:bCs w:val="0"/>
                <w:color w:val="auto"/>
                <w:sz w:val="24"/>
                <w:szCs w:val="24"/>
                <w:lang w:val="en-US" w:eastAsia="zh-CN"/>
              </w:rPr>
              <w:t>勐海县污水处理厂</w:t>
            </w:r>
            <w:r>
              <w:rPr>
                <w:rFonts w:hint="eastAsia" w:ascii="宋体" w:hAnsi="宋体" w:eastAsia="宋体" w:cs="宋体"/>
                <w:b w:val="0"/>
                <w:bCs w:val="0"/>
                <w:color w:val="auto"/>
                <w:kern w:val="0"/>
                <w:sz w:val="24"/>
                <w:szCs w:val="24"/>
                <w:lang w:bidi="ar"/>
              </w:rPr>
              <w:t>的方案可行。项目从水质和水量分析废水都不会对</w:t>
            </w:r>
            <w:r>
              <w:rPr>
                <w:rFonts w:hint="eastAsia" w:ascii="宋体" w:hAnsi="宋体" w:eastAsia="宋体" w:cs="宋体"/>
                <w:b w:val="0"/>
                <w:bCs w:val="0"/>
                <w:color w:val="auto"/>
                <w:sz w:val="24"/>
                <w:szCs w:val="24"/>
                <w:lang w:val="en-US" w:eastAsia="zh-CN"/>
              </w:rPr>
              <w:t>勐海县污水处理厂</w:t>
            </w:r>
            <w:r>
              <w:rPr>
                <w:rFonts w:hint="eastAsia" w:ascii="宋体" w:hAnsi="宋体" w:eastAsia="宋体" w:cs="宋体"/>
                <w:b w:val="0"/>
                <w:bCs w:val="0"/>
                <w:color w:val="auto"/>
                <w:kern w:val="0"/>
                <w:sz w:val="24"/>
                <w:szCs w:val="24"/>
                <w:lang w:bidi="ar"/>
              </w:rPr>
              <w:t>造成不利影响，故项目废水进入</w:t>
            </w:r>
            <w:r>
              <w:rPr>
                <w:rFonts w:hint="eastAsia" w:ascii="宋体" w:hAnsi="宋体" w:eastAsia="宋体" w:cs="宋体"/>
                <w:b w:val="0"/>
                <w:bCs w:val="0"/>
                <w:color w:val="auto"/>
                <w:sz w:val="24"/>
                <w:szCs w:val="24"/>
                <w:lang w:val="en-US" w:eastAsia="zh-CN"/>
              </w:rPr>
              <w:t>勐海县污水处理厂</w:t>
            </w:r>
            <w:r>
              <w:rPr>
                <w:rFonts w:hint="eastAsia" w:ascii="宋体" w:hAnsi="宋体" w:eastAsia="宋体" w:cs="宋体"/>
                <w:b w:val="0"/>
                <w:bCs w:val="0"/>
                <w:color w:val="auto"/>
                <w:kern w:val="0"/>
                <w:sz w:val="24"/>
                <w:szCs w:val="24"/>
                <w:lang w:bidi="ar"/>
              </w:rPr>
              <w:t>处理是可行性的。</w:t>
            </w:r>
          </w:p>
          <w:p>
            <w:pPr>
              <w:adjustRightInd w:val="0"/>
              <w:snapToGrid w:val="0"/>
              <w:spacing w:line="360" w:lineRule="auto"/>
              <w:ind w:firstLine="482"/>
              <w:rPr>
                <w:rFonts w:hint="default"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6、污水站监测结果分析</w:t>
            </w:r>
          </w:p>
          <w:p>
            <w:pPr>
              <w:adjustRightInd w:val="0"/>
              <w:snapToGrid w:val="0"/>
              <w:spacing w:line="360" w:lineRule="auto"/>
              <w:ind w:firstLine="482"/>
              <w:rPr>
                <w:rFonts w:hint="eastAsia" w:ascii="宋体" w:hAnsi="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根据</w:t>
            </w:r>
            <w:r>
              <w:rPr>
                <w:rFonts w:hint="eastAsia" w:ascii="宋体" w:hAnsi="宋体" w:eastAsia="宋体" w:cs="宋体"/>
                <w:b w:val="0"/>
                <w:bCs w:val="0"/>
                <w:color w:val="auto"/>
                <w:kern w:val="0"/>
                <w:sz w:val="24"/>
                <w:szCs w:val="24"/>
                <w:lang w:bidi="ar"/>
              </w:rPr>
              <w:t>《</w:t>
            </w:r>
            <w:r>
              <w:rPr>
                <w:rFonts w:hint="eastAsia" w:ascii="宋体" w:hAnsi="宋体" w:eastAsia="宋体" w:cs="宋体"/>
                <w:b w:val="0"/>
                <w:bCs w:val="0"/>
                <w:color w:val="auto"/>
                <w:kern w:val="0"/>
                <w:sz w:val="24"/>
                <w:szCs w:val="24"/>
                <w:lang w:val="en-US" w:eastAsia="zh-CN" w:bidi="ar"/>
              </w:rPr>
              <w:t>西双版纳巅峰环境检测有限公司检测报告</w:t>
            </w:r>
            <w:r>
              <w:rPr>
                <w:rFonts w:hint="eastAsia" w:ascii="宋体" w:hAnsi="宋体" w:eastAsia="宋体" w:cs="宋体"/>
                <w:b w:val="0"/>
                <w:bCs w:val="0"/>
                <w:color w:val="auto"/>
                <w:kern w:val="0"/>
                <w:sz w:val="24"/>
                <w:szCs w:val="24"/>
                <w:lang w:bidi="ar"/>
              </w:rPr>
              <w:t>》</w:t>
            </w:r>
            <w:r>
              <w:rPr>
                <w:rFonts w:hint="eastAsia" w:ascii="宋体" w:hAnsi="宋体" w:eastAsia="宋体" w:cs="宋体"/>
                <w:b w:val="0"/>
                <w:bCs w:val="0"/>
                <w:color w:val="auto"/>
                <w:kern w:val="0"/>
                <w:sz w:val="24"/>
                <w:szCs w:val="24"/>
                <w:lang w:val="en-US" w:eastAsia="zh-CN" w:bidi="ar"/>
              </w:rPr>
              <w:t>（巅峰环字[2023]0180号），见附件4。污水处理站2023年2月废水检测结果</w:t>
            </w:r>
            <w:r>
              <w:rPr>
                <w:rFonts w:hint="eastAsia" w:ascii="宋体" w:hAnsi="宋体" w:eastAsia="宋体" w:cs="宋体"/>
                <w:b w:val="0"/>
                <w:bCs w:val="0"/>
                <w:color w:val="auto"/>
                <w:kern w:val="0"/>
                <w:sz w:val="24"/>
                <w:szCs w:val="24"/>
                <w:lang w:bidi="ar"/>
              </w:rPr>
              <w:t>化学需氧量、悬浮物</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五日生化需氧量</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粪大肠菌群数</w:t>
            </w:r>
            <w:r>
              <w:rPr>
                <w:rFonts w:hint="eastAsia" w:ascii="宋体" w:hAnsi="宋体" w:eastAsia="宋体" w:cs="宋体"/>
                <w:b w:val="0"/>
                <w:bCs w:val="0"/>
                <w:color w:val="auto"/>
                <w:kern w:val="0"/>
                <w:sz w:val="24"/>
                <w:szCs w:val="24"/>
                <w:lang w:val="en-US" w:eastAsia="zh-CN" w:bidi="ar"/>
              </w:rPr>
              <w:t>等指标均达到《医疗机构水污染物排放标准》表2中的预处理标准</w:t>
            </w:r>
            <w:r>
              <w:rPr>
                <w:rFonts w:hint="eastAsia" w:ascii="宋体" w:hAnsi="宋体" w:cs="宋体"/>
                <w:b w:val="0"/>
                <w:bCs w:val="0"/>
                <w:color w:val="auto"/>
                <w:kern w:val="0"/>
                <w:sz w:val="24"/>
                <w:szCs w:val="24"/>
                <w:lang w:val="en-US" w:eastAsia="zh-CN" w:bidi="ar"/>
              </w:rPr>
              <w:t>，</w:t>
            </w:r>
            <w:r>
              <w:rPr>
                <w:rFonts w:hint="eastAsia" w:ascii="宋体" w:hAnsi="宋体" w:eastAsia="宋体" w:cs="宋体"/>
                <w:b w:val="0"/>
                <w:bCs w:val="0"/>
                <w:color w:val="auto"/>
                <w:kern w:val="0"/>
                <w:sz w:val="24"/>
                <w:szCs w:val="24"/>
                <w:lang w:val="en-US" w:eastAsia="zh-CN" w:bidi="ar"/>
              </w:rPr>
              <w:t>氨氮达到《污水排入城镇下水道水质标准》（GB/T31962-2015）表1中A等级标准。</w:t>
            </w:r>
            <w:r>
              <w:rPr>
                <w:rFonts w:hint="eastAsia" w:ascii="宋体" w:hAnsi="宋体" w:cs="宋体"/>
                <w:b w:val="0"/>
                <w:bCs w:val="0"/>
                <w:color w:val="auto"/>
                <w:kern w:val="0"/>
                <w:sz w:val="24"/>
                <w:szCs w:val="24"/>
                <w:lang w:val="en-US" w:eastAsia="zh-CN" w:bidi="ar"/>
              </w:rPr>
              <w:t>检测结果见下表。</w:t>
            </w:r>
          </w:p>
          <w:p>
            <w:pPr>
              <w:adjustRightInd w:val="0"/>
              <w:snapToGrid w:val="0"/>
              <w:jc w:val="center"/>
              <w:rPr>
                <w:rFonts w:hint="default"/>
                <w:color w:val="auto"/>
                <w:lang w:val="en-US" w:eastAsia="zh-CN"/>
              </w:rPr>
            </w:pPr>
            <w:r>
              <w:rPr>
                <w:rFonts w:hint="eastAsia" w:ascii="黑体" w:hAnsi="黑体" w:eastAsia="黑体" w:cs="黑体"/>
                <w:color w:val="auto"/>
                <w:sz w:val="21"/>
                <w:szCs w:val="21"/>
              </w:rPr>
              <w:t>表 4-</w:t>
            </w:r>
            <w:r>
              <w:rPr>
                <w:rFonts w:hint="eastAsia" w:ascii="黑体" w:hAnsi="黑体" w:eastAsia="黑体" w:cs="黑体"/>
                <w:color w:val="auto"/>
                <w:sz w:val="21"/>
                <w:szCs w:val="21"/>
                <w:lang w:val="en-US" w:eastAsia="zh-CN"/>
              </w:rPr>
              <w:t>4</w:t>
            </w:r>
            <w:r>
              <w:rPr>
                <w:rFonts w:hint="eastAsia" w:ascii="黑体" w:hAnsi="黑体" w:eastAsia="黑体" w:cs="黑体"/>
                <w:color w:val="auto"/>
                <w:sz w:val="21"/>
                <w:szCs w:val="21"/>
              </w:rPr>
              <w:t xml:space="preserve"> </w:t>
            </w:r>
            <w:r>
              <w:rPr>
                <w:rFonts w:hint="eastAsia" w:ascii="黑体" w:hAnsi="黑体" w:eastAsia="黑体" w:cs="黑体"/>
                <w:color w:val="auto"/>
                <w:sz w:val="21"/>
                <w:szCs w:val="21"/>
                <w:lang w:val="en-US" w:eastAsia="zh-CN"/>
              </w:rPr>
              <w:t>污水处理站出水检测结果</w:t>
            </w:r>
            <w:r>
              <w:rPr>
                <w:rFonts w:hint="eastAsia" w:ascii="黑体" w:hAnsi="黑体" w:eastAsia="黑体" w:cs="黑体"/>
                <w:color w:val="auto"/>
                <w:sz w:val="21"/>
                <w:szCs w:val="21"/>
              </w:rPr>
              <w:t>一览表</w:t>
            </w:r>
          </w:p>
          <w:tbl>
            <w:tblPr>
              <w:tblStyle w:val="27"/>
              <w:tblW w:w="7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060"/>
              <w:gridCol w:w="1994"/>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检测项目</w:t>
                  </w:r>
                </w:p>
              </w:tc>
              <w:tc>
                <w:tcPr>
                  <w:tcW w:w="20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单位</w:t>
                  </w:r>
                </w:p>
              </w:tc>
              <w:tc>
                <w:tcPr>
                  <w:tcW w:w="1994" w:type="dxa"/>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检测结果</w:t>
                  </w:r>
                </w:p>
                <w:p>
                  <w:pPr>
                    <w:keepNext w:val="0"/>
                    <w:keepLines w:val="0"/>
                    <w:widowControl/>
                    <w:suppressLineNumbers w:val="0"/>
                    <w:jc w:val="both"/>
                    <w:textAlignment w:val="center"/>
                    <w:rPr>
                      <w:rFonts w:hint="eastAsia" w:ascii="宋体" w:hAnsi="宋体" w:eastAsia="宋体" w:cs="宋体"/>
                      <w:b w:val="0"/>
                      <w:bCs w:val="0"/>
                      <w:color w:val="auto"/>
                      <w:sz w:val="18"/>
                      <w:szCs w:val="18"/>
                      <w:vertAlign w:val="baseline"/>
                      <w:lang w:val="en-US" w:eastAsia="zh-CN"/>
                    </w:rPr>
                  </w:pPr>
                </w:p>
              </w:tc>
              <w:tc>
                <w:tcPr>
                  <w:tcW w:w="2106" w:type="dxa"/>
                </w:tcPr>
                <w:p>
                  <w:pPr>
                    <w:pStyle w:val="16"/>
                    <w:jc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粪大肠菌群</w:t>
                  </w:r>
                </w:p>
              </w:tc>
              <w:tc>
                <w:tcPr>
                  <w:tcW w:w="20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MPN/L</w:t>
                  </w:r>
                </w:p>
              </w:tc>
              <w:tc>
                <w:tcPr>
                  <w:tcW w:w="1994" w:type="dxa"/>
                </w:tcPr>
                <w:p>
                  <w:pPr>
                    <w:pStyle w:val="16"/>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2.37*10</w:t>
                  </w:r>
                  <w:r>
                    <w:rPr>
                      <w:rFonts w:hint="eastAsia" w:ascii="宋体" w:hAnsi="宋体" w:eastAsia="宋体" w:cs="宋体"/>
                      <w:b w:val="0"/>
                      <w:bCs w:val="0"/>
                      <w:color w:val="auto"/>
                      <w:sz w:val="18"/>
                      <w:szCs w:val="18"/>
                      <w:vertAlign w:val="superscript"/>
                      <w:lang w:val="en-US" w:eastAsia="zh-CN"/>
                    </w:rPr>
                    <w:t>-3</w:t>
                  </w:r>
                </w:p>
              </w:tc>
              <w:tc>
                <w:tcPr>
                  <w:tcW w:w="210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沙门氏菌</w:t>
                  </w:r>
                </w:p>
              </w:tc>
              <w:tc>
                <w:tcPr>
                  <w:tcW w:w="20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1</w:t>
                  </w:r>
                </w:p>
              </w:tc>
              <w:tc>
                <w:tcPr>
                  <w:tcW w:w="1994" w:type="dxa"/>
                </w:tcPr>
                <w:p>
                  <w:pPr>
                    <w:pStyle w:val="16"/>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未检出</w:t>
                  </w:r>
                </w:p>
              </w:tc>
              <w:tc>
                <w:tcPr>
                  <w:tcW w:w="210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志贺氏菌</w:t>
                  </w:r>
                </w:p>
              </w:tc>
              <w:tc>
                <w:tcPr>
                  <w:tcW w:w="20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1</w:t>
                  </w:r>
                </w:p>
              </w:tc>
              <w:tc>
                <w:tcPr>
                  <w:tcW w:w="1994" w:type="dxa"/>
                </w:tcPr>
                <w:p>
                  <w:pPr>
                    <w:pStyle w:val="16"/>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未检出</w:t>
                  </w:r>
                </w:p>
              </w:tc>
              <w:tc>
                <w:tcPr>
                  <w:tcW w:w="210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pH</w:t>
                  </w:r>
                </w:p>
              </w:tc>
              <w:tc>
                <w:tcPr>
                  <w:tcW w:w="20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无量纲</w:t>
                  </w:r>
                </w:p>
              </w:tc>
              <w:tc>
                <w:tcPr>
                  <w:tcW w:w="1994" w:type="dxa"/>
                </w:tcPr>
                <w:p>
                  <w:pPr>
                    <w:pStyle w:val="16"/>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7.0</w:t>
                  </w:r>
                </w:p>
              </w:tc>
              <w:tc>
                <w:tcPr>
                  <w:tcW w:w="210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化学需氧量 （COD）</w:t>
                  </w:r>
                </w:p>
              </w:tc>
              <w:tc>
                <w:tcPr>
                  <w:tcW w:w="20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mg/L</w:t>
                  </w:r>
                </w:p>
              </w:tc>
              <w:tc>
                <w:tcPr>
                  <w:tcW w:w="1994" w:type="dxa"/>
                </w:tcPr>
                <w:p>
                  <w:pPr>
                    <w:pStyle w:val="16"/>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29</w:t>
                  </w:r>
                </w:p>
              </w:tc>
              <w:tc>
                <w:tcPr>
                  <w:tcW w:w="210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五日生化需氧量 （BODg)</w:t>
                  </w:r>
                </w:p>
              </w:tc>
              <w:tc>
                <w:tcPr>
                  <w:tcW w:w="20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mg/L</w:t>
                  </w:r>
                </w:p>
              </w:tc>
              <w:tc>
                <w:tcPr>
                  <w:tcW w:w="1994" w:type="dxa"/>
                </w:tcPr>
                <w:p>
                  <w:pPr>
                    <w:pStyle w:val="16"/>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11.8</w:t>
                  </w:r>
                </w:p>
              </w:tc>
              <w:tc>
                <w:tcPr>
                  <w:tcW w:w="210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悬浮物（SS）</w:t>
                  </w:r>
                </w:p>
              </w:tc>
              <w:tc>
                <w:tcPr>
                  <w:tcW w:w="20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mg/L</w:t>
                  </w:r>
                </w:p>
              </w:tc>
              <w:tc>
                <w:tcPr>
                  <w:tcW w:w="1994" w:type="dxa"/>
                </w:tcPr>
                <w:p>
                  <w:pPr>
                    <w:pStyle w:val="16"/>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13</w:t>
                  </w:r>
                </w:p>
              </w:tc>
              <w:tc>
                <w:tcPr>
                  <w:tcW w:w="210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氨氮</w:t>
                  </w:r>
                </w:p>
              </w:tc>
              <w:tc>
                <w:tcPr>
                  <w:tcW w:w="20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mg/L</w:t>
                  </w:r>
                </w:p>
              </w:tc>
              <w:tc>
                <w:tcPr>
                  <w:tcW w:w="1994" w:type="dxa"/>
                </w:tcPr>
                <w:p>
                  <w:pPr>
                    <w:pStyle w:val="16"/>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5.44</w:t>
                  </w:r>
                </w:p>
              </w:tc>
              <w:tc>
                <w:tcPr>
                  <w:tcW w:w="210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总余氯</w:t>
                  </w:r>
                </w:p>
              </w:tc>
              <w:tc>
                <w:tcPr>
                  <w:tcW w:w="20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mg/L</w:t>
                  </w:r>
                </w:p>
              </w:tc>
              <w:tc>
                <w:tcPr>
                  <w:tcW w:w="1994" w:type="dxa"/>
                </w:tcPr>
                <w:p>
                  <w:pPr>
                    <w:pStyle w:val="16"/>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0.44</w:t>
                  </w:r>
                </w:p>
              </w:tc>
              <w:tc>
                <w:tcPr>
                  <w:tcW w:w="210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w:t>
                  </w:r>
                </w:p>
              </w:tc>
            </w:tr>
          </w:tbl>
          <w:p>
            <w:pPr>
              <w:pStyle w:val="16"/>
              <w:rPr>
                <w:rFonts w:hint="eastAsia"/>
                <w:color w:val="auto"/>
                <w:lang w:val="en-US" w:eastAsia="zh-CN"/>
              </w:rPr>
            </w:pPr>
          </w:p>
          <w:p>
            <w:pPr>
              <w:adjustRightInd w:val="0"/>
              <w:snapToGrid w:val="0"/>
              <w:spacing w:line="360" w:lineRule="auto"/>
              <w:ind w:firstLine="482"/>
              <w:rPr>
                <w:rFonts w:hint="eastAsia" w:ascii="宋体" w:hAnsi="宋体" w:eastAsia="宋体" w:cs="宋体"/>
                <w:b w:val="0"/>
                <w:bCs/>
                <w:color w:val="auto"/>
                <w:sz w:val="24"/>
                <w:szCs w:val="24"/>
              </w:rPr>
            </w:pPr>
            <w:r>
              <w:rPr>
                <w:rFonts w:hint="eastAsia" w:ascii="宋体" w:hAnsi="宋体" w:cs="宋体"/>
                <w:b w:val="0"/>
                <w:bCs/>
                <w:color w:val="auto"/>
                <w:sz w:val="24"/>
                <w:szCs w:val="24"/>
                <w:lang w:val="en-US" w:eastAsia="zh-CN"/>
              </w:rPr>
              <w:t>7</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rPr>
              <w:t xml:space="preserve">监测要求 </w:t>
            </w:r>
          </w:p>
          <w:p>
            <w:pPr>
              <w:adjustRightInd w:val="0"/>
              <w:snapToGrid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参照《排污许可证申请与核发技术规范 医疗机构》（HJ1105-2020），本环评提出废水环境监测计划见下表。</w:t>
            </w:r>
          </w:p>
          <w:p>
            <w:pPr>
              <w:adjustRightInd w:val="0"/>
              <w:snapToGrid w:val="0"/>
              <w:jc w:val="center"/>
              <w:rPr>
                <w:rFonts w:hint="eastAsia" w:ascii="黑体" w:hAnsi="黑体" w:eastAsia="黑体" w:cs="黑体"/>
                <w:color w:val="auto"/>
                <w:sz w:val="21"/>
                <w:szCs w:val="21"/>
              </w:rPr>
            </w:pPr>
            <w:r>
              <w:rPr>
                <w:rFonts w:hint="eastAsia" w:ascii="黑体" w:hAnsi="黑体" w:eastAsia="黑体" w:cs="黑体"/>
                <w:color w:val="auto"/>
                <w:sz w:val="21"/>
                <w:szCs w:val="21"/>
              </w:rPr>
              <w:t>表 4-</w:t>
            </w:r>
            <w:r>
              <w:rPr>
                <w:rFonts w:hint="eastAsia" w:ascii="黑体" w:hAnsi="黑体" w:eastAsia="黑体" w:cs="黑体"/>
                <w:color w:val="auto"/>
                <w:sz w:val="21"/>
                <w:szCs w:val="21"/>
                <w:lang w:val="en-US" w:eastAsia="zh-CN"/>
              </w:rPr>
              <w:t>5</w:t>
            </w:r>
            <w:r>
              <w:rPr>
                <w:rFonts w:hint="eastAsia" w:ascii="黑体" w:hAnsi="黑体" w:eastAsia="黑体" w:cs="黑体"/>
                <w:color w:val="auto"/>
                <w:sz w:val="21"/>
                <w:szCs w:val="21"/>
              </w:rPr>
              <w:t xml:space="preserve"> 水环境监测计划一览表</w:t>
            </w:r>
          </w:p>
          <w:tbl>
            <w:tblPr>
              <w:tblStyle w:val="26"/>
              <w:tblW w:w="798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133"/>
              <w:gridCol w:w="3900"/>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adjustRightInd w:val="0"/>
                    <w:snapToGrid w:val="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排放形式</w:t>
                  </w:r>
                </w:p>
              </w:tc>
              <w:tc>
                <w:tcPr>
                  <w:tcW w:w="1133" w:type="dxa"/>
                  <w:vAlign w:val="center"/>
                </w:tcPr>
                <w:p>
                  <w:pPr>
                    <w:adjustRightInd w:val="0"/>
                    <w:snapToGrid w:val="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监测点位</w:t>
                  </w:r>
                </w:p>
              </w:tc>
              <w:tc>
                <w:tcPr>
                  <w:tcW w:w="3900" w:type="dxa"/>
                  <w:vAlign w:val="center"/>
                </w:tcPr>
                <w:p>
                  <w:pPr>
                    <w:adjustRightInd w:val="0"/>
                    <w:snapToGrid w:val="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监测指标</w:t>
                  </w:r>
                </w:p>
              </w:tc>
              <w:tc>
                <w:tcPr>
                  <w:tcW w:w="1997" w:type="dxa"/>
                  <w:vAlign w:val="center"/>
                </w:tcPr>
                <w:p>
                  <w:pPr>
                    <w:adjustRightInd w:val="0"/>
                    <w:snapToGrid w:val="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restart"/>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间接排放</w:t>
                  </w:r>
                </w:p>
              </w:tc>
              <w:tc>
                <w:tcPr>
                  <w:tcW w:w="1133" w:type="dxa"/>
                  <w:vMerge w:val="restart"/>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污水处理站总排口</w:t>
                  </w:r>
                </w:p>
              </w:tc>
              <w:tc>
                <w:tcPr>
                  <w:tcW w:w="3900"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流量</w:t>
                  </w:r>
                </w:p>
              </w:tc>
              <w:tc>
                <w:tcPr>
                  <w:tcW w:w="1997"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continue"/>
                  <w:vAlign w:val="center"/>
                </w:tcPr>
                <w:p>
                  <w:pPr>
                    <w:adjustRightInd w:val="0"/>
                    <w:snapToGrid w:val="0"/>
                    <w:jc w:val="center"/>
                    <w:rPr>
                      <w:rFonts w:hint="eastAsia" w:ascii="宋体" w:hAnsi="宋体" w:eastAsia="宋体" w:cs="宋体"/>
                      <w:color w:val="auto"/>
                      <w:sz w:val="18"/>
                      <w:szCs w:val="18"/>
                    </w:rPr>
                  </w:pPr>
                </w:p>
              </w:tc>
              <w:tc>
                <w:tcPr>
                  <w:tcW w:w="1133" w:type="dxa"/>
                  <w:vMerge w:val="continue"/>
                  <w:vAlign w:val="center"/>
                </w:tcPr>
                <w:p>
                  <w:pPr>
                    <w:adjustRightInd w:val="0"/>
                    <w:snapToGrid w:val="0"/>
                    <w:jc w:val="center"/>
                    <w:rPr>
                      <w:rFonts w:hint="eastAsia" w:ascii="宋体" w:hAnsi="宋体" w:eastAsia="宋体" w:cs="宋体"/>
                      <w:color w:val="auto"/>
                      <w:sz w:val="18"/>
                      <w:szCs w:val="18"/>
                    </w:rPr>
                  </w:pPr>
                </w:p>
              </w:tc>
              <w:tc>
                <w:tcPr>
                  <w:tcW w:w="3900"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PH</w:t>
                  </w:r>
                </w:p>
              </w:tc>
              <w:tc>
                <w:tcPr>
                  <w:tcW w:w="1997"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continue"/>
                  <w:vAlign w:val="center"/>
                </w:tcPr>
                <w:p>
                  <w:pPr>
                    <w:adjustRightInd w:val="0"/>
                    <w:snapToGrid w:val="0"/>
                    <w:jc w:val="center"/>
                    <w:rPr>
                      <w:rFonts w:hint="eastAsia" w:ascii="宋体" w:hAnsi="宋体" w:eastAsia="宋体" w:cs="宋体"/>
                      <w:color w:val="auto"/>
                      <w:sz w:val="18"/>
                      <w:szCs w:val="18"/>
                    </w:rPr>
                  </w:pPr>
                </w:p>
              </w:tc>
              <w:tc>
                <w:tcPr>
                  <w:tcW w:w="1133" w:type="dxa"/>
                  <w:vMerge w:val="continue"/>
                  <w:vAlign w:val="center"/>
                </w:tcPr>
                <w:p>
                  <w:pPr>
                    <w:adjustRightInd w:val="0"/>
                    <w:snapToGrid w:val="0"/>
                    <w:jc w:val="center"/>
                    <w:rPr>
                      <w:rFonts w:hint="eastAsia" w:ascii="宋体" w:hAnsi="宋体" w:eastAsia="宋体" w:cs="宋体"/>
                      <w:color w:val="auto"/>
                      <w:sz w:val="18"/>
                      <w:szCs w:val="18"/>
                    </w:rPr>
                  </w:pPr>
                </w:p>
              </w:tc>
              <w:tc>
                <w:tcPr>
                  <w:tcW w:w="3900"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化学需氧量、悬浮物</w:t>
                  </w:r>
                </w:p>
              </w:tc>
              <w:tc>
                <w:tcPr>
                  <w:tcW w:w="1997"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continue"/>
                  <w:vAlign w:val="center"/>
                </w:tcPr>
                <w:p>
                  <w:pPr>
                    <w:adjustRightInd w:val="0"/>
                    <w:snapToGrid w:val="0"/>
                    <w:jc w:val="center"/>
                    <w:rPr>
                      <w:rFonts w:hint="eastAsia" w:ascii="宋体" w:hAnsi="宋体" w:eastAsia="宋体" w:cs="宋体"/>
                      <w:color w:val="auto"/>
                      <w:sz w:val="18"/>
                      <w:szCs w:val="18"/>
                    </w:rPr>
                  </w:pPr>
                </w:p>
              </w:tc>
              <w:tc>
                <w:tcPr>
                  <w:tcW w:w="1133" w:type="dxa"/>
                  <w:vMerge w:val="continue"/>
                  <w:vAlign w:val="center"/>
                </w:tcPr>
                <w:p>
                  <w:pPr>
                    <w:adjustRightInd w:val="0"/>
                    <w:snapToGrid w:val="0"/>
                    <w:jc w:val="center"/>
                    <w:rPr>
                      <w:rFonts w:hint="eastAsia" w:ascii="宋体" w:hAnsi="宋体" w:eastAsia="宋体" w:cs="宋体"/>
                      <w:color w:val="auto"/>
                      <w:sz w:val="18"/>
                      <w:szCs w:val="18"/>
                    </w:rPr>
                  </w:pPr>
                </w:p>
              </w:tc>
              <w:tc>
                <w:tcPr>
                  <w:tcW w:w="3900"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粪大肠菌群数</w:t>
                  </w:r>
                </w:p>
              </w:tc>
              <w:tc>
                <w:tcPr>
                  <w:tcW w:w="1997"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952" w:type="dxa"/>
                  <w:vMerge w:val="continue"/>
                  <w:vAlign w:val="center"/>
                </w:tcPr>
                <w:p>
                  <w:pPr>
                    <w:adjustRightInd w:val="0"/>
                    <w:snapToGrid w:val="0"/>
                    <w:jc w:val="center"/>
                    <w:rPr>
                      <w:rFonts w:hint="eastAsia" w:ascii="宋体" w:hAnsi="宋体" w:eastAsia="宋体" w:cs="宋体"/>
                      <w:color w:val="auto"/>
                      <w:sz w:val="18"/>
                      <w:szCs w:val="18"/>
                    </w:rPr>
                  </w:pPr>
                </w:p>
              </w:tc>
              <w:tc>
                <w:tcPr>
                  <w:tcW w:w="1133" w:type="dxa"/>
                  <w:vMerge w:val="continue"/>
                  <w:vAlign w:val="center"/>
                </w:tcPr>
                <w:p>
                  <w:pPr>
                    <w:adjustRightInd w:val="0"/>
                    <w:snapToGrid w:val="0"/>
                    <w:jc w:val="center"/>
                    <w:rPr>
                      <w:rFonts w:hint="eastAsia" w:ascii="宋体" w:hAnsi="宋体" w:eastAsia="宋体" w:cs="宋体"/>
                      <w:color w:val="auto"/>
                      <w:sz w:val="18"/>
                      <w:szCs w:val="18"/>
                    </w:rPr>
                  </w:pPr>
                </w:p>
              </w:tc>
              <w:tc>
                <w:tcPr>
                  <w:tcW w:w="3900" w:type="dxa"/>
                  <w:vAlign w:val="center"/>
                </w:tcPr>
                <w:p>
                  <w:pPr>
                    <w:widowControl/>
                    <w:adjustRightInd w:val="0"/>
                    <w:snapToGrid w:val="0"/>
                    <w:jc w:val="center"/>
                    <w:rPr>
                      <w:rFonts w:hint="default" w:ascii="宋体" w:hAnsi="宋体" w:eastAsia="宋体" w:cs="宋体"/>
                      <w:color w:val="auto"/>
                      <w:sz w:val="18"/>
                      <w:szCs w:val="18"/>
                      <w:lang w:val="en-US" w:eastAsia="zh-CN"/>
                    </w:rPr>
                  </w:pPr>
                  <w:r>
                    <w:rPr>
                      <w:rFonts w:hint="eastAsia" w:ascii="宋体" w:hAnsi="宋体" w:eastAsia="宋体" w:cs="宋体"/>
                      <w:color w:val="auto"/>
                      <w:kern w:val="0"/>
                      <w:sz w:val="18"/>
                      <w:szCs w:val="18"/>
                      <w:lang w:bidi="ar"/>
                    </w:rPr>
                    <w:t>五日生化需氧量、石油类、挥发酚、动植物油、阴离子表面活性剂、总氰化物</w:t>
                  </w:r>
                  <w:r>
                    <w:rPr>
                      <w:rFonts w:hint="eastAsia" w:ascii="宋体" w:hAnsi="宋体" w:cs="宋体"/>
                      <w:color w:val="auto"/>
                      <w:kern w:val="0"/>
                      <w:sz w:val="18"/>
                      <w:szCs w:val="18"/>
                      <w:lang w:eastAsia="zh-CN" w:bidi="ar"/>
                    </w:rPr>
                    <w:t>、</w:t>
                  </w:r>
                  <w:r>
                    <w:rPr>
                      <w:rFonts w:hint="eastAsia" w:ascii="宋体" w:hAnsi="宋体" w:cs="宋体"/>
                      <w:color w:val="auto"/>
                      <w:kern w:val="0"/>
                      <w:sz w:val="18"/>
                      <w:szCs w:val="18"/>
                      <w:lang w:val="en-US" w:eastAsia="zh-CN" w:bidi="ar"/>
                    </w:rPr>
                    <w:t>总余氯</w:t>
                  </w:r>
                </w:p>
              </w:tc>
              <w:tc>
                <w:tcPr>
                  <w:tcW w:w="1997" w:type="dxa"/>
                  <w:vAlign w:val="center"/>
                </w:tcPr>
                <w:p>
                  <w:pPr>
                    <w:adjustRightInd w:val="0"/>
                    <w:snapToGrid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季度</w:t>
                  </w:r>
                </w:p>
              </w:tc>
            </w:tr>
          </w:tbl>
          <w:p>
            <w:pPr>
              <w:adjustRightInd w:val="0"/>
              <w:snapToGrid w:val="0"/>
              <w:spacing w:line="360" w:lineRule="auto"/>
              <w:ind w:firstLine="482"/>
              <w:rPr>
                <w:rFonts w:hint="eastAsia" w:ascii="宋体" w:hAnsi="宋体" w:eastAsia="宋体" w:cs="宋体"/>
                <w:b/>
                <w:color w:val="auto"/>
                <w:sz w:val="24"/>
                <w:szCs w:val="24"/>
              </w:rPr>
            </w:pPr>
            <w:r>
              <w:rPr>
                <w:rFonts w:hint="eastAsia" w:ascii="宋体" w:hAnsi="宋体" w:cs="宋体"/>
                <w:b/>
                <w:color w:val="auto"/>
                <w:sz w:val="24"/>
                <w:szCs w:val="24"/>
                <w:lang w:val="en-US" w:eastAsia="zh-CN"/>
              </w:rPr>
              <w:t>8</w:t>
            </w:r>
            <w:r>
              <w:rPr>
                <w:rFonts w:hint="eastAsia" w:ascii="宋体" w:hAnsi="宋体" w:eastAsia="宋体" w:cs="宋体"/>
                <w:b/>
                <w:color w:val="auto"/>
                <w:sz w:val="24"/>
                <w:szCs w:val="24"/>
                <w:lang w:val="en-US" w:eastAsia="zh-CN"/>
              </w:rPr>
              <w:t>、</w:t>
            </w:r>
            <w:r>
              <w:rPr>
                <w:rFonts w:hint="eastAsia" w:ascii="宋体" w:hAnsi="宋体" w:eastAsia="宋体" w:cs="宋体"/>
                <w:b/>
                <w:color w:val="auto"/>
                <w:sz w:val="24"/>
                <w:szCs w:val="24"/>
              </w:rPr>
              <w:t xml:space="preserve">结论 </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综上所述，项目产生的废水经处理达到《医疗机构水污染物排放标准》（GB18466-2005）表2中预处理标准及《污水排入城镇下水道水质标准》（GB/T31962-2015）表1中A等级标准后，通过污水总排口排入污水管网，最终进入</w:t>
            </w:r>
            <w:r>
              <w:rPr>
                <w:rFonts w:hint="eastAsia" w:ascii="宋体" w:hAnsi="宋体" w:eastAsia="宋体" w:cs="宋体"/>
                <w:color w:val="auto"/>
                <w:sz w:val="24"/>
                <w:szCs w:val="24"/>
                <w:lang w:val="en-US" w:eastAsia="zh-CN"/>
              </w:rPr>
              <w:t>勐海县污水处理</w:t>
            </w:r>
            <w:r>
              <w:rPr>
                <w:rFonts w:hint="eastAsia" w:ascii="宋体" w:hAnsi="宋体" w:eastAsia="宋体" w:cs="宋体"/>
                <w:color w:val="auto"/>
                <w:sz w:val="24"/>
                <w:szCs w:val="24"/>
              </w:rPr>
              <w:t xml:space="preserve">厂进行处理。本项目只要加强废水处理设施运行管理，加强对操作人员的岗位培训，对有毒、有害废水进行合理的管理与防治，确保污水稳定达标排放，杜绝事故性排放，建立健全环保管理机制和各项环保规章制度，落实岗位环保责任制，加强环境风险防范工作，防止事故排放导致环境问题。则项目废水不会对周围水环境造成不良影响。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4.2.3</w:t>
            </w:r>
            <w:r>
              <w:rPr>
                <w:rFonts w:hint="eastAsia" w:ascii="宋体" w:hAnsi="宋体" w:eastAsia="宋体" w:cs="宋体"/>
                <w:b/>
                <w:bCs/>
                <w:color w:val="auto"/>
                <w:sz w:val="24"/>
                <w:szCs w:val="24"/>
              </w:rPr>
              <w:t>地下水</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土壤</w:t>
            </w:r>
            <w:r>
              <w:rPr>
                <w:rFonts w:hint="eastAsia" w:ascii="宋体" w:hAnsi="宋体" w:eastAsia="宋体" w:cs="宋体"/>
                <w:b/>
                <w:bCs/>
                <w:color w:val="auto"/>
                <w:sz w:val="24"/>
                <w:szCs w:val="24"/>
              </w:rPr>
              <w:t>环境影响分析</w:t>
            </w:r>
            <w:r>
              <w:rPr>
                <w:rFonts w:hint="eastAsia" w:ascii="宋体" w:hAnsi="宋体" w:eastAsia="宋体" w:cs="宋体"/>
                <w:b/>
                <w:bCs/>
                <w:color w:val="auto"/>
                <w:sz w:val="24"/>
                <w:szCs w:val="24"/>
                <w:lang w:val="en-US" w:eastAsia="zh-CN"/>
              </w:rPr>
              <w:t>及保护措施</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项目区用水由</w:t>
            </w:r>
            <w:r>
              <w:rPr>
                <w:rFonts w:hint="eastAsia" w:ascii="宋体" w:hAnsi="宋体" w:eastAsia="宋体" w:cs="宋体"/>
                <w:color w:val="auto"/>
                <w:sz w:val="24"/>
                <w:szCs w:val="24"/>
                <w:lang w:val="en-US" w:eastAsia="zh-CN"/>
              </w:rPr>
              <w:t>勐海县市政</w:t>
            </w:r>
            <w:r>
              <w:rPr>
                <w:rFonts w:hint="eastAsia" w:ascii="宋体" w:hAnsi="宋体" w:eastAsia="宋体" w:cs="宋体"/>
                <w:color w:val="auto"/>
                <w:sz w:val="24"/>
                <w:szCs w:val="24"/>
                <w:lang w:eastAsia="zh-CN"/>
              </w:rPr>
              <w:t>供水管网</w:t>
            </w:r>
            <w:r>
              <w:rPr>
                <w:rFonts w:hint="eastAsia" w:ascii="宋体" w:hAnsi="宋体" w:eastAsia="宋体" w:cs="宋体"/>
                <w:color w:val="auto"/>
                <w:sz w:val="24"/>
                <w:szCs w:val="24"/>
              </w:rPr>
              <w:t>供给，项目周围无集中式地下水取水点。项目区域排水采用雨、污分流制，项目废水的收集与排放，全都通过管道排入医院现有的污水处理</w:t>
            </w:r>
            <w:r>
              <w:rPr>
                <w:rFonts w:hint="eastAsia" w:ascii="宋体" w:hAnsi="宋体" w:eastAsia="宋体" w:cs="宋体"/>
                <w:color w:val="auto"/>
                <w:sz w:val="24"/>
                <w:szCs w:val="24"/>
                <w:lang w:eastAsia="zh-CN"/>
              </w:rPr>
              <w:t>设施</w:t>
            </w:r>
            <w:r>
              <w:rPr>
                <w:rFonts w:hint="eastAsia" w:ascii="宋体" w:hAnsi="宋体" w:eastAsia="宋体" w:cs="宋体"/>
                <w:color w:val="auto"/>
                <w:sz w:val="24"/>
                <w:szCs w:val="24"/>
              </w:rPr>
              <w:t>，正常情况废水不会直接通过地表水与地下水的水力联系而进入地下水从而引地下水水质的变化。</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cs="宋体"/>
                <w:color w:val="auto"/>
                <w:sz w:val="24"/>
                <w:szCs w:val="24"/>
                <w:lang w:val="en-US" w:eastAsia="zh-CN"/>
              </w:rPr>
              <w:t>项目采取分区防渗措施，</w:t>
            </w:r>
            <w:r>
              <w:rPr>
                <w:rFonts w:hint="eastAsia" w:ascii="宋体" w:hAnsi="宋体" w:eastAsia="宋体" w:cs="宋体"/>
                <w:color w:val="auto"/>
                <w:sz w:val="24"/>
                <w:szCs w:val="24"/>
              </w:rPr>
              <w:t>化粪池、污水处理</w:t>
            </w:r>
            <w:r>
              <w:rPr>
                <w:rFonts w:hint="eastAsia" w:ascii="宋体" w:hAnsi="宋体" w:eastAsia="宋体" w:cs="宋体"/>
                <w:color w:val="auto"/>
                <w:sz w:val="24"/>
                <w:szCs w:val="24"/>
                <w:lang w:eastAsia="zh-CN"/>
              </w:rPr>
              <w:t>设施</w:t>
            </w:r>
            <w:r>
              <w:rPr>
                <w:rFonts w:hint="eastAsia" w:ascii="宋体" w:hAnsi="宋体" w:eastAsia="宋体" w:cs="宋体"/>
                <w:color w:val="auto"/>
                <w:sz w:val="24"/>
                <w:szCs w:val="24"/>
              </w:rPr>
              <w:t>及医疗废物暂存间已进行过防渗处理</w:t>
            </w:r>
            <w:r>
              <w:rPr>
                <w:rFonts w:hint="eastAsia" w:ascii="宋体" w:hAnsi="宋体" w:cs="宋体"/>
                <w:color w:val="auto"/>
                <w:sz w:val="24"/>
                <w:szCs w:val="24"/>
                <w:lang w:eastAsia="zh-CN"/>
              </w:rPr>
              <w:t>。</w:t>
            </w:r>
            <w:r>
              <w:rPr>
                <w:rFonts w:hint="eastAsia" w:ascii="宋体" w:hAnsi="宋体" w:eastAsia="宋体" w:cs="宋体"/>
                <w:color w:val="auto"/>
                <w:sz w:val="24"/>
                <w:szCs w:val="24"/>
              </w:rPr>
              <w:t>化粪池、污水处理设施</w:t>
            </w:r>
            <w:r>
              <w:rPr>
                <w:rFonts w:hint="eastAsia" w:ascii="宋体" w:hAnsi="宋体" w:eastAsia="宋体" w:cs="宋体"/>
                <w:color w:val="auto"/>
                <w:sz w:val="24"/>
                <w:szCs w:val="24"/>
                <w:lang w:val="en-US" w:eastAsia="zh-CN"/>
              </w:rPr>
              <w:t>采用</w:t>
            </w:r>
            <w:r>
              <w:rPr>
                <w:rFonts w:hint="eastAsia" w:ascii="宋体" w:hAnsi="宋体" w:cs="宋体"/>
                <w:color w:val="auto"/>
                <w:sz w:val="24"/>
                <w:szCs w:val="24"/>
                <w:lang w:val="en-US" w:eastAsia="zh-CN"/>
              </w:rPr>
              <w:t>抗</w:t>
            </w:r>
            <w:r>
              <w:rPr>
                <w:rFonts w:hint="eastAsia" w:ascii="宋体" w:hAnsi="宋体" w:eastAsia="宋体" w:cs="宋体"/>
                <w:color w:val="auto"/>
                <w:sz w:val="24"/>
                <w:szCs w:val="24"/>
              </w:rPr>
              <w:t>渗混凝土浇筑，上铺HDPE防渗膜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达到一般防渗要求。</w:t>
            </w:r>
            <w:r>
              <w:rPr>
                <w:rFonts w:hint="eastAsia" w:ascii="宋体" w:hAnsi="宋体" w:eastAsia="宋体" w:cs="宋体"/>
                <w:color w:val="auto"/>
                <w:sz w:val="24"/>
                <w:szCs w:val="24"/>
              </w:rPr>
              <w:t>医疗废物暂存间</w:t>
            </w:r>
            <w:r>
              <w:rPr>
                <w:rFonts w:hint="eastAsia" w:ascii="宋体" w:hAnsi="宋体" w:eastAsia="宋体" w:cs="宋体"/>
                <w:color w:val="auto"/>
                <w:sz w:val="24"/>
                <w:szCs w:val="24"/>
                <w:lang w:val="en-US" w:eastAsia="zh-CN"/>
              </w:rPr>
              <w:t>采用</w:t>
            </w:r>
            <w:r>
              <w:rPr>
                <w:rFonts w:hint="eastAsia" w:ascii="宋体" w:hAnsi="宋体" w:cs="宋体"/>
                <w:color w:val="auto"/>
                <w:sz w:val="24"/>
                <w:szCs w:val="24"/>
                <w:lang w:val="en-US" w:eastAsia="zh-CN"/>
              </w:rPr>
              <w:t>抗渗混凝土</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防渗涂料</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达到重点防渗要求。</w:t>
            </w:r>
            <w:r>
              <w:rPr>
                <w:rFonts w:hint="eastAsia" w:ascii="宋体" w:hAnsi="宋体" w:cs="宋体"/>
                <w:color w:val="auto"/>
                <w:sz w:val="24"/>
                <w:szCs w:val="24"/>
                <w:lang w:val="en-US" w:eastAsia="zh-CN"/>
              </w:rPr>
              <w:t>发电机房储存200L柴油，柴油采用密闭罐存放。地面采用混凝土硬化，达到简单防渗要求。</w:t>
            </w:r>
            <w:r>
              <w:rPr>
                <w:rFonts w:hint="eastAsia" w:ascii="宋体" w:hAnsi="宋体" w:eastAsia="宋体" w:cs="宋体"/>
                <w:color w:val="auto"/>
                <w:sz w:val="24"/>
                <w:szCs w:val="24"/>
              </w:rPr>
              <w:t>可避免废水和医疗废物渗出液下渗污染地下水。同时应加强管理，定期对排水管道进行检修和维护，可以有效避免本项目废水的下渗及跑冒滴漏，从而避免废水污染</w:t>
            </w:r>
            <w:r>
              <w:rPr>
                <w:rFonts w:hint="eastAsia" w:ascii="宋体" w:hAnsi="宋体" w:eastAsia="宋体" w:cs="宋体"/>
                <w:color w:val="auto"/>
                <w:sz w:val="24"/>
                <w:szCs w:val="24"/>
                <w:lang w:val="en-US" w:eastAsia="zh-CN"/>
              </w:rPr>
              <w:t>土壤及</w:t>
            </w:r>
            <w:r>
              <w:rPr>
                <w:rFonts w:hint="eastAsia" w:ascii="宋体" w:hAnsi="宋体" w:eastAsia="宋体" w:cs="宋体"/>
                <w:color w:val="auto"/>
                <w:sz w:val="24"/>
                <w:szCs w:val="24"/>
              </w:rPr>
              <w:t>地下水。</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4.2.</w:t>
            </w: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运营期噪声环境影响分析</w:t>
            </w:r>
          </w:p>
          <w:p>
            <w:pPr>
              <w:numPr>
                <w:ilvl w:val="0"/>
                <w:numId w:val="0"/>
              </w:numPr>
              <w:spacing w:line="360" w:lineRule="auto"/>
              <w:ind w:firstLine="480" w:firstLineChars="200"/>
              <w:rPr>
                <w:rFonts w:hint="eastAsia" w:ascii="宋体" w:hAnsi="宋体" w:eastAsia="宋体" w:cs="宋体"/>
                <w:b w:val="0"/>
                <w:bCs w:val="0"/>
                <w:color w:val="auto"/>
                <w:sz w:val="24"/>
                <w:szCs w:val="24"/>
                <w:lang w:bidi="ar"/>
              </w:rPr>
            </w:pPr>
            <w:r>
              <w:rPr>
                <w:rFonts w:hint="eastAsia" w:ascii="宋体" w:hAnsi="宋体" w:eastAsia="宋体" w:cs="宋体"/>
                <w:b w:val="0"/>
                <w:bCs w:val="0"/>
                <w:color w:val="auto"/>
                <w:sz w:val="24"/>
                <w:szCs w:val="24"/>
                <w:lang w:val="en-US" w:eastAsia="zh-CN" w:bidi="ar"/>
              </w:rPr>
              <w:t>1、</w:t>
            </w:r>
            <w:r>
              <w:rPr>
                <w:rFonts w:hint="eastAsia" w:ascii="宋体" w:hAnsi="宋体" w:eastAsia="宋体" w:cs="宋体"/>
                <w:b w:val="0"/>
                <w:bCs w:val="0"/>
                <w:color w:val="auto"/>
                <w:sz w:val="24"/>
                <w:szCs w:val="24"/>
                <w:lang w:bidi="ar"/>
              </w:rPr>
              <w:t>噪声源</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color w:val="auto"/>
                <w:sz w:val="24"/>
                <w:szCs w:val="24"/>
              </w:rPr>
              <w:t>本项目噪声源主要为污水处理站风机、水泵等产生的设备噪声以及人群活动产生的生活噪声。人群活动</w:t>
            </w:r>
            <w:r>
              <w:rPr>
                <w:rFonts w:hint="eastAsia" w:ascii="宋体" w:hAnsi="宋体" w:cs="宋体"/>
                <w:color w:val="auto"/>
                <w:sz w:val="24"/>
                <w:szCs w:val="24"/>
                <w:lang w:val="en-US" w:eastAsia="zh-CN"/>
              </w:rPr>
              <w:t>噪声约60</w:t>
            </w:r>
            <w:r>
              <w:rPr>
                <w:rFonts w:hint="eastAsia" w:ascii="宋体" w:hAnsi="宋体" w:eastAsia="宋体" w:cs="宋体"/>
                <w:color w:val="auto"/>
                <w:sz w:val="24"/>
                <w:szCs w:val="24"/>
              </w:rPr>
              <w:t>dB(A)</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rPr>
              <w:t xml:space="preserve">噪声源强约为 </w:t>
            </w: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dB(A)。</w:t>
            </w:r>
          </w:p>
          <w:p>
            <w:pPr>
              <w:adjustRightInd w:val="0"/>
              <w:snapToGrid w:val="0"/>
              <w:spacing w:before="60" w:beforeLines="25" w:line="360" w:lineRule="auto"/>
              <w:ind w:left="-1850" w:right="-1822"/>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lang w:val="en-US" w:eastAsia="zh-CN"/>
              </w:rPr>
              <w:t>表4-6</w:t>
            </w:r>
            <w:r>
              <w:rPr>
                <w:rFonts w:hint="eastAsia" w:ascii="黑体" w:hAnsi="黑体" w:eastAsia="黑体" w:cs="黑体"/>
                <w:b w:val="0"/>
                <w:bCs w:val="0"/>
                <w:color w:val="auto"/>
                <w:sz w:val="21"/>
                <w:szCs w:val="21"/>
              </w:rPr>
              <w:t>项目主要噪声源</w:t>
            </w:r>
            <w:r>
              <w:rPr>
                <w:rFonts w:hint="eastAsia" w:ascii="黑体" w:hAnsi="黑体" w:eastAsia="黑体" w:cs="黑体"/>
                <w:b w:val="0"/>
                <w:bCs w:val="0"/>
                <w:color w:val="auto"/>
                <w:sz w:val="21"/>
                <w:szCs w:val="21"/>
                <w:lang w:val="en-US" w:eastAsia="zh-CN"/>
              </w:rPr>
              <w:t>强调查清单</w:t>
            </w:r>
          </w:p>
          <w:tbl>
            <w:tblPr>
              <w:tblStyle w:val="26"/>
              <w:tblW w:w="7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649"/>
              <w:gridCol w:w="688"/>
              <w:gridCol w:w="798"/>
              <w:gridCol w:w="512"/>
              <w:gridCol w:w="541"/>
              <w:gridCol w:w="626"/>
              <w:gridCol w:w="558"/>
              <w:gridCol w:w="574"/>
              <w:gridCol w:w="584"/>
              <w:gridCol w:w="758"/>
              <w:gridCol w:w="535"/>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8" w:type="dxa"/>
                  <w:vMerge w:val="restart"/>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序号</w:t>
                  </w:r>
                </w:p>
              </w:tc>
              <w:tc>
                <w:tcPr>
                  <w:tcW w:w="649" w:type="dxa"/>
                  <w:vMerge w:val="restart"/>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建筑物名称</w:t>
                  </w:r>
                </w:p>
              </w:tc>
              <w:tc>
                <w:tcPr>
                  <w:tcW w:w="688" w:type="dxa"/>
                  <w:vMerge w:val="restart"/>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声源</w:t>
                  </w:r>
                </w:p>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名称</w:t>
                  </w:r>
                </w:p>
              </w:tc>
              <w:tc>
                <w:tcPr>
                  <w:tcW w:w="798" w:type="dxa"/>
                  <w:vMerge w:val="restart"/>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声功率级</w:t>
                  </w:r>
                </w:p>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/dB(A)</w:t>
                  </w:r>
                </w:p>
              </w:tc>
              <w:tc>
                <w:tcPr>
                  <w:tcW w:w="1679" w:type="dxa"/>
                  <w:gridSpan w:val="3"/>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空间相对位置/m</w:t>
                  </w:r>
                </w:p>
              </w:tc>
              <w:tc>
                <w:tcPr>
                  <w:tcW w:w="558" w:type="dxa"/>
                  <w:vMerge w:val="restart"/>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声源控制措施</w:t>
                  </w:r>
                </w:p>
              </w:tc>
              <w:tc>
                <w:tcPr>
                  <w:tcW w:w="574" w:type="dxa"/>
                  <w:vMerge w:val="restart"/>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距室内边界距离/m</w:t>
                  </w:r>
                </w:p>
              </w:tc>
              <w:tc>
                <w:tcPr>
                  <w:tcW w:w="584" w:type="dxa"/>
                  <w:vMerge w:val="restart"/>
                  <w:vAlign w:val="center"/>
                </w:tcPr>
                <w:p>
                  <w:pPr>
                    <w:adjustRightInd w:val="0"/>
                    <w:snapToGrid w:val="0"/>
                    <w:spacing w:line="240" w:lineRule="auto"/>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室内边界声级</w:t>
                  </w:r>
                </w:p>
              </w:tc>
              <w:tc>
                <w:tcPr>
                  <w:tcW w:w="758" w:type="dxa"/>
                  <w:vMerge w:val="restart"/>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建筑物插入损失/dB(A)</w:t>
                  </w:r>
                </w:p>
              </w:tc>
              <w:tc>
                <w:tcPr>
                  <w:tcW w:w="1238" w:type="dxa"/>
                  <w:gridSpan w:val="2"/>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建筑物外</w:t>
                  </w:r>
                </w:p>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8" w:type="dxa"/>
                  <w:vMerge w:val="continue"/>
                  <w:vAlign w:val="center"/>
                </w:tcPr>
                <w:p>
                  <w:pPr>
                    <w:adjustRightInd w:val="0"/>
                    <w:snapToGrid w:val="0"/>
                    <w:spacing w:line="240" w:lineRule="auto"/>
                    <w:jc w:val="center"/>
                    <w:rPr>
                      <w:rFonts w:hint="eastAsia" w:ascii="宋体" w:hAnsi="宋体" w:eastAsia="宋体" w:cs="宋体"/>
                      <w:b w:val="0"/>
                      <w:bCs w:val="0"/>
                      <w:color w:val="auto"/>
                      <w:sz w:val="18"/>
                      <w:szCs w:val="18"/>
                    </w:rPr>
                  </w:pPr>
                </w:p>
              </w:tc>
              <w:tc>
                <w:tcPr>
                  <w:tcW w:w="649" w:type="dxa"/>
                  <w:vMerge w:val="continue"/>
                  <w:vAlign w:val="center"/>
                </w:tcPr>
                <w:p>
                  <w:pPr>
                    <w:adjustRightInd w:val="0"/>
                    <w:snapToGrid w:val="0"/>
                    <w:spacing w:line="240" w:lineRule="auto"/>
                    <w:jc w:val="center"/>
                    <w:rPr>
                      <w:rFonts w:hint="eastAsia" w:ascii="宋体" w:hAnsi="宋体" w:eastAsia="宋体" w:cs="宋体"/>
                      <w:b w:val="0"/>
                      <w:bCs w:val="0"/>
                      <w:color w:val="auto"/>
                      <w:sz w:val="18"/>
                      <w:szCs w:val="18"/>
                    </w:rPr>
                  </w:pPr>
                </w:p>
              </w:tc>
              <w:tc>
                <w:tcPr>
                  <w:tcW w:w="688" w:type="dxa"/>
                  <w:vMerge w:val="continue"/>
                  <w:vAlign w:val="center"/>
                </w:tcPr>
                <w:p>
                  <w:pPr>
                    <w:adjustRightInd w:val="0"/>
                    <w:snapToGrid w:val="0"/>
                    <w:spacing w:line="240" w:lineRule="auto"/>
                    <w:jc w:val="center"/>
                    <w:rPr>
                      <w:rFonts w:hint="eastAsia" w:ascii="宋体" w:hAnsi="宋体" w:eastAsia="宋体" w:cs="宋体"/>
                      <w:b w:val="0"/>
                      <w:bCs w:val="0"/>
                      <w:color w:val="auto"/>
                      <w:sz w:val="18"/>
                      <w:szCs w:val="18"/>
                    </w:rPr>
                  </w:pPr>
                </w:p>
              </w:tc>
              <w:tc>
                <w:tcPr>
                  <w:tcW w:w="798" w:type="dxa"/>
                  <w:vMerge w:val="continue"/>
                  <w:vAlign w:val="center"/>
                </w:tcPr>
                <w:p>
                  <w:pPr>
                    <w:adjustRightInd w:val="0"/>
                    <w:snapToGrid w:val="0"/>
                    <w:spacing w:line="240" w:lineRule="auto"/>
                    <w:jc w:val="center"/>
                    <w:rPr>
                      <w:rFonts w:hint="eastAsia" w:ascii="宋体" w:hAnsi="宋体" w:eastAsia="宋体" w:cs="宋体"/>
                      <w:b w:val="0"/>
                      <w:bCs w:val="0"/>
                      <w:color w:val="auto"/>
                      <w:sz w:val="18"/>
                      <w:szCs w:val="18"/>
                    </w:rPr>
                  </w:pPr>
                </w:p>
              </w:tc>
              <w:tc>
                <w:tcPr>
                  <w:tcW w:w="512" w:type="dxa"/>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X</w:t>
                  </w:r>
                </w:p>
              </w:tc>
              <w:tc>
                <w:tcPr>
                  <w:tcW w:w="541" w:type="dxa"/>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Y</w:t>
                  </w:r>
                </w:p>
              </w:tc>
              <w:tc>
                <w:tcPr>
                  <w:tcW w:w="626" w:type="dxa"/>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Z</w:t>
                  </w:r>
                </w:p>
              </w:tc>
              <w:tc>
                <w:tcPr>
                  <w:tcW w:w="558" w:type="dxa"/>
                  <w:vMerge w:val="continue"/>
                  <w:vAlign w:val="center"/>
                </w:tcPr>
                <w:p>
                  <w:pPr>
                    <w:adjustRightInd w:val="0"/>
                    <w:snapToGrid w:val="0"/>
                    <w:spacing w:line="240" w:lineRule="auto"/>
                    <w:jc w:val="center"/>
                    <w:rPr>
                      <w:rFonts w:hint="eastAsia" w:ascii="宋体" w:hAnsi="宋体" w:eastAsia="宋体" w:cs="宋体"/>
                      <w:b w:val="0"/>
                      <w:bCs w:val="0"/>
                      <w:color w:val="auto"/>
                      <w:sz w:val="18"/>
                      <w:szCs w:val="18"/>
                    </w:rPr>
                  </w:pPr>
                </w:p>
              </w:tc>
              <w:tc>
                <w:tcPr>
                  <w:tcW w:w="574" w:type="dxa"/>
                  <w:vMerge w:val="continue"/>
                  <w:vAlign w:val="center"/>
                </w:tcPr>
                <w:p>
                  <w:pPr>
                    <w:adjustRightInd w:val="0"/>
                    <w:snapToGrid w:val="0"/>
                    <w:spacing w:line="240" w:lineRule="auto"/>
                    <w:jc w:val="center"/>
                    <w:rPr>
                      <w:rFonts w:hint="eastAsia" w:ascii="宋体" w:hAnsi="宋体" w:eastAsia="宋体" w:cs="宋体"/>
                      <w:b w:val="0"/>
                      <w:bCs w:val="0"/>
                      <w:color w:val="auto"/>
                      <w:sz w:val="18"/>
                      <w:szCs w:val="18"/>
                    </w:rPr>
                  </w:pPr>
                </w:p>
              </w:tc>
              <w:tc>
                <w:tcPr>
                  <w:tcW w:w="584" w:type="dxa"/>
                  <w:vMerge w:val="continue"/>
                  <w:vAlign w:val="center"/>
                </w:tcPr>
                <w:p>
                  <w:pPr>
                    <w:adjustRightInd w:val="0"/>
                    <w:snapToGrid w:val="0"/>
                    <w:spacing w:line="240" w:lineRule="auto"/>
                    <w:jc w:val="center"/>
                    <w:rPr>
                      <w:rFonts w:hint="eastAsia" w:ascii="宋体" w:hAnsi="宋体" w:eastAsia="宋体" w:cs="宋体"/>
                      <w:b w:val="0"/>
                      <w:bCs w:val="0"/>
                      <w:color w:val="auto"/>
                      <w:sz w:val="18"/>
                      <w:szCs w:val="18"/>
                    </w:rPr>
                  </w:pPr>
                </w:p>
              </w:tc>
              <w:tc>
                <w:tcPr>
                  <w:tcW w:w="758" w:type="dxa"/>
                  <w:vMerge w:val="continue"/>
                  <w:vAlign w:val="center"/>
                </w:tcPr>
                <w:p>
                  <w:pPr>
                    <w:adjustRightInd w:val="0"/>
                    <w:snapToGrid w:val="0"/>
                    <w:spacing w:line="240" w:lineRule="auto"/>
                    <w:jc w:val="center"/>
                    <w:rPr>
                      <w:rFonts w:hint="eastAsia" w:ascii="宋体" w:hAnsi="宋体" w:eastAsia="宋体" w:cs="宋体"/>
                      <w:b w:val="0"/>
                      <w:bCs w:val="0"/>
                      <w:color w:val="auto"/>
                      <w:sz w:val="18"/>
                      <w:szCs w:val="18"/>
                    </w:rPr>
                  </w:pPr>
                </w:p>
              </w:tc>
              <w:tc>
                <w:tcPr>
                  <w:tcW w:w="535" w:type="dxa"/>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声压级</w:t>
                  </w:r>
                </w:p>
              </w:tc>
              <w:tc>
                <w:tcPr>
                  <w:tcW w:w="703" w:type="dxa"/>
                  <w:vAlign w:val="center"/>
                </w:tcPr>
                <w:p>
                  <w:pPr>
                    <w:adjustRightInd w:val="0"/>
                    <w:snapToGrid w:val="0"/>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8" w:type="dxa"/>
                  <w:vMerge w:val="restart"/>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p>
              </w:tc>
              <w:tc>
                <w:tcPr>
                  <w:tcW w:w="649" w:type="dxa"/>
                  <w:vMerge w:val="restart"/>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污水处理站</w:t>
                  </w:r>
                </w:p>
              </w:tc>
              <w:tc>
                <w:tcPr>
                  <w:tcW w:w="688"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鼓风机</w:t>
                  </w:r>
                </w:p>
              </w:tc>
              <w:tc>
                <w:tcPr>
                  <w:tcW w:w="798" w:type="dxa"/>
                  <w:vAlign w:val="center"/>
                </w:tcPr>
                <w:p>
                  <w:pPr>
                    <w:spacing w:line="24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8</w:t>
                  </w:r>
                  <w:r>
                    <w:rPr>
                      <w:rFonts w:hint="eastAsia" w:ascii="宋体" w:hAnsi="宋体" w:cs="宋体"/>
                      <w:color w:val="auto"/>
                      <w:sz w:val="18"/>
                      <w:szCs w:val="18"/>
                      <w:lang w:val="en-US" w:eastAsia="zh-CN"/>
                    </w:rPr>
                    <w:t>0</w:t>
                  </w:r>
                </w:p>
              </w:tc>
              <w:tc>
                <w:tcPr>
                  <w:tcW w:w="512"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-60</w:t>
                  </w:r>
                </w:p>
              </w:tc>
              <w:tc>
                <w:tcPr>
                  <w:tcW w:w="541"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-12</w:t>
                  </w:r>
                </w:p>
              </w:tc>
              <w:tc>
                <w:tcPr>
                  <w:tcW w:w="626"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1174</w:t>
                  </w:r>
                </w:p>
              </w:tc>
              <w:tc>
                <w:tcPr>
                  <w:tcW w:w="558" w:type="dxa"/>
                  <w:vMerge w:val="restart"/>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基础减震+厂房隔声</w:t>
                  </w:r>
                </w:p>
                <w:p>
                  <w:pPr>
                    <w:spacing w:line="240" w:lineRule="auto"/>
                    <w:jc w:val="center"/>
                    <w:rPr>
                      <w:rFonts w:hint="eastAsia" w:ascii="宋体" w:hAnsi="宋体" w:eastAsia="宋体" w:cs="宋体"/>
                      <w:color w:val="auto"/>
                      <w:sz w:val="18"/>
                      <w:szCs w:val="18"/>
                    </w:rPr>
                  </w:pPr>
                </w:p>
              </w:tc>
              <w:tc>
                <w:tcPr>
                  <w:tcW w:w="574" w:type="dxa"/>
                  <w:vAlign w:val="center"/>
                </w:tcPr>
                <w:p>
                  <w:pPr>
                    <w:spacing w:line="24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p>
              </w:tc>
              <w:tc>
                <w:tcPr>
                  <w:tcW w:w="584"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66</w:t>
                  </w:r>
                </w:p>
              </w:tc>
              <w:tc>
                <w:tcPr>
                  <w:tcW w:w="758" w:type="dxa"/>
                  <w:vAlign w:val="center"/>
                </w:tcPr>
                <w:p>
                  <w:pPr>
                    <w:spacing w:line="240" w:lineRule="auto"/>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20</w:t>
                  </w:r>
                </w:p>
              </w:tc>
              <w:tc>
                <w:tcPr>
                  <w:tcW w:w="535"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46</w:t>
                  </w:r>
                </w:p>
              </w:tc>
              <w:tc>
                <w:tcPr>
                  <w:tcW w:w="703"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8"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649" w:type="dxa"/>
                  <w:vMerge w:val="continue"/>
                  <w:vAlign w:val="center"/>
                </w:tcPr>
                <w:p>
                  <w:pPr>
                    <w:spacing w:line="240" w:lineRule="auto"/>
                    <w:jc w:val="center"/>
                    <w:rPr>
                      <w:rFonts w:hint="eastAsia" w:ascii="宋体" w:hAnsi="宋体" w:eastAsia="宋体" w:cs="宋体"/>
                      <w:color w:val="auto"/>
                      <w:sz w:val="18"/>
                      <w:szCs w:val="18"/>
                    </w:rPr>
                  </w:pPr>
                </w:p>
              </w:tc>
              <w:tc>
                <w:tcPr>
                  <w:tcW w:w="688"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水泵</w:t>
                  </w:r>
                </w:p>
              </w:tc>
              <w:tc>
                <w:tcPr>
                  <w:tcW w:w="798"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r>
                    <w:rPr>
                      <w:rFonts w:hint="eastAsia" w:ascii="宋体" w:hAnsi="宋体" w:cs="宋体"/>
                      <w:color w:val="auto"/>
                      <w:sz w:val="18"/>
                      <w:szCs w:val="18"/>
                      <w:lang w:val="en-US" w:eastAsia="zh-CN"/>
                    </w:rPr>
                    <w:t>0</w:t>
                  </w:r>
                </w:p>
              </w:tc>
              <w:tc>
                <w:tcPr>
                  <w:tcW w:w="512"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-45</w:t>
                  </w:r>
                </w:p>
              </w:tc>
              <w:tc>
                <w:tcPr>
                  <w:tcW w:w="541"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626" w:type="dxa"/>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1174</w:t>
                  </w:r>
                </w:p>
              </w:tc>
              <w:tc>
                <w:tcPr>
                  <w:tcW w:w="558" w:type="dxa"/>
                  <w:vMerge w:val="continue"/>
                  <w:vAlign w:val="center"/>
                </w:tcPr>
                <w:p>
                  <w:pPr>
                    <w:spacing w:line="240" w:lineRule="auto"/>
                    <w:jc w:val="center"/>
                    <w:rPr>
                      <w:rFonts w:hint="eastAsia" w:ascii="宋体" w:hAnsi="宋体" w:eastAsia="宋体" w:cs="宋体"/>
                      <w:color w:val="auto"/>
                      <w:sz w:val="18"/>
                      <w:szCs w:val="18"/>
                    </w:rPr>
                  </w:pPr>
                </w:p>
              </w:tc>
              <w:tc>
                <w:tcPr>
                  <w:tcW w:w="574"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584"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72</w:t>
                  </w:r>
                </w:p>
              </w:tc>
              <w:tc>
                <w:tcPr>
                  <w:tcW w:w="758" w:type="dxa"/>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20</w:t>
                  </w:r>
                </w:p>
              </w:tc>
              <w:tc>
                <w:tcPr>
                  <w:tcW w:w="535" w:type="dxa"/>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52</w:t>
                  </w:r>
                </w:p>
              </w:tc>
              <w:tc>
                <w:tcPr>
                  <w:tcW w:w="703"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p>
              </w:tc>
            </w:tr>
          </w:tbl>
          <w:p>
            <w:pPr>
              <w:pStyle w:val="7"/>
              <w:rPr>
                <w:rFonts w:hint="eastAsia"/>
                <w:color w:val="auto"/>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降噪措施</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为减轻项目噪声对周边环境的影响，项目拟采取以下降噪措施： </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①规范操作</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②定期对设备、设施进行检修。</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③</w:t>
            </w:r>
            <w:r>
              <w:rPr>
                <w:rFonts w:hint="eastAsia" w:ascii="宋体" w:hAnsi="宋体" w:eastAsia="宋体" w:cs="宋体"/>
                <w:color w:val="auto"/>
                <w:sz w:val="24"/>
                <w:szCs w:val="24"/>
                <w:lang w:val="en-US" w:eastAsia="zh-CN"/>
              </w:rPr>
              <w:t>医院内</w:t>
            </w:r>
            <w:r>
              <w:rPr>
                <w:rFonts w:hint="eastAsia" w:ascii="宋体" w:hAnsi="宋体" w:eastAsia="宋体" w:cs="宋体"/>
                <w:color w:val="auto"/>
                <w:sz w:val="24"/>
                <w:szCs w:val="24"/>
              </w:rPr>
              <w:t>进出口处</w:t>
            </w:r>
            <w:r>
              <w:rPr>
                <w:rFonts w:hint="eastAsia" w:ascii="宋体" w:hAnsi="宋体" w:eastAsia="宋体" w:cs="宋体"/>
                <w:color w:val="auto"/>
                <w:sz w:val="24"/>
                <w:szCs w:val="24"/>
                <w:lang w:val="en-US" w:eastAsia="zh-CN"/>
              </w:rPr>
              <w:t>和过道</w:t>
            </w:r>
            <w:r>
              <w:rPr>
                <w:rFonts w:hint="eastAsia" w:ascii="宋体" w:hAnsi="宋体" w:eastAsia="宋体" w:cs="宋体"/>
                <w:color w:val="auto"/>
                <w:sz w:val="24"/>
                <w:szCs w:val="24"/>
              </w:rPr>
              <w:t>设置“</w:t>
            </w:r>
            <w:r>
              <w:rPr>
                <w:rFonts w:hint="eastAsia" w:ascii="宋体" w:hAnsi="宋体" w:eastAsia="宋体" w:cs="宋体"/>
                <w:color w:val="auto"/>
                <w:sz w:val="24"/>
                <w:szCs w:val="24"/>
                <w:lang w:val="en-US" w:eastAsia="zh-CN"/>
              </w:rPr>
              <w:t>禁止大声喧哗等</w:t>
            </w:r>
            <w:r>
              <w:rPr>
                <w:rFonts w:hint="eastAsia" w:ascii="宋体" w:hAnsi="宋体" w:eastAsia="宋体" w:cs="宋体"/>
                <w:color w:val="auto"/>
                <w:sz w:val="24"/>
                <w:szCs w:val="24"/>
              </w:rPr>
              <w:t xml:space="preserve">”标识。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④设置封闭的发电机房，对风机、水泵等高噪声设备进行基础隔声处理。</w:t>
            </w:r>
          </w:p>
          <w:p>
            <w:pPr>
              <w:spacing w:line="360" w:lineRule="auto"/>
              <w:ind w:right="39"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噪声影响分析</w:t>
            </w:r>
          </w:p>
          <w:p>
            <w:pPr>
              <w:spacing w:line="360" w:lineRule="auto"/>
              <w:ind w:right="39"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根据建设单位于2023年8月9日委托</w:t>
            </w:r>
            <w:r>
              <w:rPr>
                <w:rFonts w:hint="eastAsia" w:ascii="宋体" w:hAnsi="宋体" w:eastAsia="宋体" w:cs="宋体"/>
                <w:color w:val="auto"/>
                <w:sz w:val="24"/>
                <w:szCs w:val="24"/>
              </w:rPr>
              <w:t>云南</w:t>
            </w:r>
            <w:r>
              <w:rPr>
                <w:rFonts w:hint="eastAsia" w:ascii="宋体" w:hAnsi="宋体" w:eastAsia="宋体" w:cs="宋体"/>
                <w:color w:val="auto"/>
                <w:sz w:val="24"/>
                <w:szCs w:val="24"/>
                <w:lang w:val="en-US" w:eastAsia="zh-CN"/>
              </w:rPr>
              <w:t>天籁</w:t>
            </w:r>
            <w:r>
              <w:rPr>
                <w:rFonts w:hint="eastAsia" w:ascii="宋体" w:hAnsi="宋体" w:eastAsia="宋体" w:cs="宋体"/>
                <w:color w:val="auto"/>
                <w:sz w:val="24"/>
                <w:szCs w:val="24"/>
              </w:rPr>
              <w:t>环保科技有限公司</w:t>
            </w:r>
            <w:r>
              <w:rPr>
                <w:rFonts w:hint="eastAsia" w:ascii="宋体" w:hAnsi="宋体" w:eastAsia="宋体" w:cs="宋体"/>
                <w:color w:val="auto"/>
                <w:sz w:val="24"/>
                <w:szCs w:val="24"/>
                <w:lang w:val="en-US" w:eastAsia="zh-CN"/>
              </w:rPr>
              <w:t>所做的《勐海县勐海镇卫生院项目声环境质量现状监测》（检测编号：[TLH B - WT-20 23 ] -080 414号），监测时项目是正常运行的，项目区四个厂界昼间噪声范围为52.0~55.0dB（A），四个厂界夜间噪声范围为42~46dB（A），环境保护目标镇政府居住点昼间噪声为55dB（A），夜间噪声为45dB（A），详细数据见表4-</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w:t>
            </w:r>
          </w:p>
          <w:p>
            <w:pPr>
              <w:spacing w:line="360" w:lineRule="auto"/>
              <w:ind w:right="39" w:firstLine="420" w:firstLineChars="200"/>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表4-7  噪声测量结果表   单位dB (A)</w:t>
            </w:r>
          </w:p>
          <w:tbl>
            <w:tblPr>
              <w:tblStyle w:val="27"/>
              <w:tblW w:w="7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237"/>
              <w:gridCol w:w="969"/>
              <w:gridCol w:w="1003"/>
              <w:gridCol w:w="975"/>
              <w:gridCol w:w="994"/>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restart"/>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检测时间</w:t>
                  </w:r>
                </w:p>
              </w:tc>
              <w:tc>
                <w:tcPr>
                  <w:tcW w:w="2237" w:type="dxa"/>
                  <w:vMerge w:val="restart"/>
                  <w:shd w:val="clear" w:color="auto" w:fill="auto"/>
                  <w:vAlign w:val="center"/>
                </w:tcPr>
                <w:p>
                  <w:pPr>
                    <w:spacing w:line="240" w:lineRule="auto"/>
                    <w:ind w:firstLine="0" w:firstLineChars="0"/>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测点</w:t>
                  </w:r>
                </w:p>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lang w:eastAsia="zh-CN"/>
                    </w:rPr>
                    <w:t>名称</w:t>
                  </w:r>
                </w:p>
              </w:tc>
              <w:tc>
                <w:tcPr>
                  <w:tcW w:w="1972" w:type="dxa"/>
                  <w:gridSpan w:val="2"/>
                  <w:shd w:val="clear" w:color="auto" w:fill="auto"/>
                  <w:vAlign w:val="center"/>
                </w:tcPr>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监测结果dB（A）</w:t>
                  </w:r>
                </w:p>
              </w:tc>
              <w:tc>
                <w:tcPr>
                  <w:tcW w:w="1969" w:type="dxa"/>
                  <w:gridSpan w:val="2"/>
                  <w:shd w:val="clear" w:color="auto" w:fill="auto"/>
                  <w:vAlign w:val="center"/>
                </w:tcPr>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标准值dB（A）</w:t>
                  </w:r>
                </w:p>
              </w:tc>
              <w:tc>
                <w:tcPr>
                  <w:tcW w:w="741" w:type="dxa"/>
                  <w:vMerge w:val="restart"/>
                  <w:shd w:val="clear" w:color="auto" w:fill="auto"/>
                  <w:vAlign w:val="center"/>
                </w:tcPr>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shd w:val="clear" w:color="auto" w:fill="D7D7D7"/>
                  <w:vAlign w:val="center"/>
                </w:tcPr>
                <w:p>
                  <w:pPr>
                    <w:spacing w:line="240" w:lineRule="auto"/>
                    <w:ind w:firstLine="0" w:firstLineChars="0"/>
                    <w:jc w:val="center"/>
                    <w:rPr>
                      <w:rFonts w:hint="eastAsia" w:ascii="宋体" w:hAnsi="宋体" w:eastAsia="宋体" w:cs="宋体"/>
                      <w:b/>
                      <w:bCs/>
                      <w:color w:val="auto"/>
                      <w:sz w:val="18"/>
                      <w:szCs w:val="18"/>
                    </w:rPr>
                  </w:pPr>
                </w:p>
              </w:tc>
              <w:tc>
                <w:tcPr>
                  <w:tcW w:w="2237" w:type="dxa"/>
                  <w:vMerge w:val="continue"/>
                  <w:shd w:val="clear" w:color="auto" w:fill="D7D7D7"/>
                  <w:vAlign w:val="center"/>
                </w:tcPr>
                <w:p>
                  <w:pPr>
                    <w:spacing w:line="240" w:lineRule="auto"/>
                    <w:ind w:firstLine="0" w:firstLineChars="0"/>
                    <w:jc w:val="center"/>
                    <w:rPr>
                      <w:rFonts w:hint="eastAsia" w:ascii="宋体" w:hAnsi="宋体" w:eastAsia="宋体" w:cs="宋体"/>
                      <w:b/>
                      <w:bCs/>
                      <w:color w:val="auto"/>
                      <w:sz w:val="18"/>
                      <w:szCs w:val="18"/>
                    </w:rPr>
                  </w:pPr>
                </w:p>
              </w:tc>
              <w:tc>
                <w:tcPr>
                  <w:tcW w:w="969"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昼间</w:t>
                  </w:r>
                </w:p>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测值[dB(A)]</w:t>
                  </w:r>
                </w:p>
              </w:tc>
              <w:tc>
                <w:tcPr>
                  <w:tcW w:w="1003"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lang w:eastAsia="zh-CN"/>
                    </w:rPr>
                    <w:t>夜</w:t>
                  </w:r>
                  <w:r>
                    <w:rPr>
                      <w:rFonts w:hint="eastAsia" w:ascii="宋体" w:hAnsi="宋体" w:eastAsia="宋体" w:cs="宋体"/>
                      <w:b/>
                      <w:bCs/>
                      <w:color w:val="auto"/>
                      <w:sz w:val="18"/>
                      <w:szCs w:val="18"/>
                    </w:rPr>
                    <w:t>间</w:t>
                  </w:r>
                </w:p>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测值[dB(A)]</w:t>
                  </w:r>
                </w:p>
              </w:tc>
              <w:tc>
                <w:tcPr>
                  <w:tcW w:w="975"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昼间</w:t>
                  </w:r>
                </w:p>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rPr>
                    <w:t>[dB(A)]</w:t>
                  </w:r>
                </w:p>
              </w:tc>
              <w:tc>
                <w:tcPr>
                  <w:tcW w:w="994" w:type="dxa"/>
                  <w:shd w:val="clear" w:color="auto" w:fill="auto"/>
                  <w:vAlign w:val="center"/>
                </w:tcPr>
                <w:p>
                  <w:pPr>
                    <w:spacing w:line="240" w:lineRule="auto"/>
                    <w:ind w:firstLine="0" w:firstLineChars="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lang w:eastAsia="zh-CN"/>
                    </w:rPr>
                    <w:t>夜</w:t>
                  </w:r>
                  <w:r>
                    <w:rPr>
                      <w:rFonts w:hint="eastAsia" w:ascii="宋体" w:hAnsi="宋体" w:eastAsia="宋体" w:cs="宋体"/>
                      <w:b/>
                      <w:bCs/>
                      <w:color w:val="auto"/>
                      <w:sz w:val="18"/>
                      <w:szCs w:val="18"/>
                    </w:rPr>
                    <w:t>间</w:t>
                  </w:r>
                </w:p>
                <w:p>
                  <w:pPr>
                    <w:spacing w:line="240" w:lineRule="auto"/>
                    <w:ind w:firstLine="0" w:firstLineChars="0"/>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rPr>
                    <w:t>[dB(A)]</w:t>
                  </w:r>
                </w:p>
              </w:tc>
              <w:tc>
                <w:tcPr>
                  <w:tcW w:w="741" w:type="dxa"/>
                  <w:vMerge w:val="continue"/>
                  <w:shd w:val="clear" w:color="auto" w:fill="D7D7D7"/>
                  <w:vAlign w:val="center"/>
                </w:tcPr>
                <w:p>
                  <w:pPr>
                    <w:spacing w:line="240" w:lineRule="auto"/>
                    <w:ind w:firstLine="0" w:firstLineChars="0"/>
                    <w:jc w:val="center"/>
                    <w:rPr>
                      <w:rFonts w:hint="eastAsia" w:ascii="宋体" w:hAnsi="宋体" w:eastAsia="宋体" w:cs="宋体"/>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restart"/>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w:t>
                  </w:r>
                  <w:r>
                    <w:rPr>
                      <w:rFonts w:hint="eastAsia" w:ascii="宋体" w:hAnsi="宋体" w:eastAsia="宋体" w:cs="宋体"/>
                      <w:color w:val="auto"/>
                      <w:sz w:val="18"/>
                      <w:szCs w:val="18"/>
                      <w:lang w:val="en-US" w:eastAsia="zh-CN"/>
                    </w:rPr>
                    <w:t>023.8.9</w:t>
                  </w:r>
                </w:p>
              </w:tc>
              <w:tc>
                <w:tcPr>
                  <w:tcW w:w="2237" w:type="dxa"/>
                  <w:vAlign w:val="center"/>
                </w:tcPr>
                <w:p>
                  <w:pPr>
                    <w:spacing w:line="240" w:lineRule="auto"/>
                    <w:ind w:firstLine="0" w:firstLineChars="0"/>
                    <w:jc w:val="center"/>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N1：项目厂界外1m处东</w:t>
                  </w:r>
                </w:p>
              </w:tc>
              <w:tc>
                <w:tcPr>
                  <w:tcW w:w="969"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54</w:t>
                  </w:r>
                </w:p>
              </w:tc>
              <w:tc>
                <w:tcPr>
                  <w:tcW w:w="100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42</w:t>
                  </w:r>
                </w:p>
              </w:tc>
              <w:tc>
                <w:tcPr>
                  <w:tcW w:w="975" w:type="dxa"/>
                  <w:vMerge w:val="restart"/>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60</w:t>
                  </w:r>
                </w:p>
              </w:tc>
              <w:tc>
                <w:tcPr>
                  <w:tcW w:w="994" w:type="dxa"/>
                  <w:vMerge w:val="restart"/>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50</w:t>
                  </w:r>
                </w:p>
              </w:tc>
              <w:tc>
                <w:tcPr>
                  <w:tcW w:w="741" w:type="dxa"/>
                  <w:vMerge w:val="restart"/>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pacing w:line="240" w:lineRule="auto"/>
                    <w:ind w:firstLine="0" w:firstLineChars="0"/>
                    <w:jc w:val="center"/>
                    <w:rPr>
                      <w:rFonts w:hint="eastAsia" w:ascii="宋体" w:hAnsi="宋体" w:eastAsia="宋体" w:cs="宋体"/>
                      <w:color w:val="auto"/>
                      <w:sz w:val="18"/>
                      <w:szCs w:val="18"/>
                    </w:rPr>
                  </w:pPr>
                </w:p>
              </w:tc>
              <w:tc>
                <w:tcPr>
                  <w:tcW w:w="2237" w:type="dxa"/>
                  <w:vAlign w:val="center"/>
                </w:tcPr>
                <w:p>
                  <w:pPr>
                    <w:spacing w:line="240" w:lineRule="auto"/>
                    <w:ind w:firstLine="0" w:firstLineChars="0"/>
                    <w:jc w:val="center"/>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N2：项目厂界外1m处南</w:t>
                  </w:r>
                </w:p>
              </w:tc>
              <w:tc>
                <w:tcPr>
                  <w:tcW w:w="969"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52</w:t>
                  </w:r>
                </w:p>
              </w:tc>
              <w:tc>
                <w:tcPr>
                  <w:tcW w:w="100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42</w:t>
                  </w:r>
                </w:p>
              </w:tc>
              <w:tc>
                <w:tcPr>
                  <w:tcW w:w="975"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741"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pacing w:line="240" w:lineRule="auto"/>
                    <w:ind w:firstLine="0" w:firstLineChars="0"/>
                    <w:jc w:val="center"/>
                    <w:rPr>
                      <w:rFonts w:hint="eastAsia" w:ascii="宋体" w:hAnsi="宋体" w:eastAsia="宋体" w:cs="宋体"/>
                      <w:color w:val="auto"/>
                      <w:sz w:val="18"/>
                      <w:szCs w:val="18"/>
                    </w:rPr>
                  </w:pPr>
                </w:p>
              </w:tc>
              <w:tc>
                <w:tcPr>
                  <w:tcW w:w="2237" w:type="dxa"/>
                  <w:vAlign w:val="center"/>
                </w:tcPr>
                <w:p>
                  <w:pPr>
                    <w:spacing w:line="240" w:lineRule="auto"/>
                    <w:ind w:firstLine="0" w:firstLineChars="0"/>
                    <w:jc w:val="center"/>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N3：项目厂界外1m处西</w:t>
                  </w:r>
                </w:p>
              </w:tc>
              <w:tc>
                <w:tcPr>
                  <w:tcW w:w="969"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52</w:t>
                  </w:r>
                </w:p>
              </w:tc>
              <w:tc>
                <w:tcPr>
                  <w:tcW w:w="100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42</w:t>
                  </w:r>
                </w:p>
              </w:tc>
              <w:tc>
                <w:tcPr>
                  <w:tcW w:w="975"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741"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pacing w:line="240" w:lineRule="auto"/>
                    <w:ind w:firstLine="0" w:firstLineChars="0"/>
                    <w:jc w:val="center"/>
                    <w:rPr>
                      <w:rFonts w:hint="eastAsia" w:ascii="宋体" w:hAnsi="宋体" w:eastAsia="宋体" w:cs="宋体"/>
                      <w:color w:val="auto"/>
                      <w:sz w:val="18"/>
                      <w:szCs w:val="18"/>
                    </w:rPr>
                  </w:pPr>
                </w:p>
              </w:tc>
              <w:tc>
                <w:tcPr>
                  <w:tcW w:w="2237" w:type="dxa"/>
                  <w:vAlign w:val="center"/>
                </w:tcPr>
                <w:p>
                  <w:pPr>
                    <w:spacing w:line="240" w:lineRule="auto"/>
                    <w:ind w:firstLine="0" w:firstLineChars="0"/>
                    <w:jc w:val="center"/>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N4：项目厂界外1m处北</w:t>
                  </w:r>
                </w:p>
              </w:tc>
              <w:tc>
                <w:tcPr>
                  <w:tcW w:w="969"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55</w:t>
                  </w:r>
                </w:p>
              </w:tc>
              <w:tc>
                <w:tcPr>
                  <w:tcW w:w="100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46</w:t>
                  </w:r>
                </w:p>
              </w:tc>
              <w:tc>
                <w:tcPr>
                  <w:tcW w:w="975"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741"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pacing w:line="240" w:lineRule="auto"/>
                    <w:ind w:firstLine="0" w:firstLineChars="0"/>
                    <w:jc w:val="center"/>
                    <w:rPr>
                      <w:rFonts w:hint="eastAsia" w:ascii="宋体" w:hAnsi="宋体" w:eastAsia="宋体" w:cs="宋体"/>
                      <w:color w:val="auto"/>
                      <w:sz w:val="18"/>
                      <w:szCs w:val="18"/>
                    </w:rPr>
                  </w:pPr>
                </w:p>
              </w:tc>
              <w:tc>
                <w:tcPr>
                  <w:tcW w:w="2237"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N5：勐海镇政府居住点</w:t>
                  </w:r>
                </w:p>
              </w:tc>
              <w:tc>
                <w:tcPr>
                  <w:tcW w:w="969"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55</w:t>
                  </w:r>
                </w:p>
              </w:tc>
              <w:tc>
                <w:tcPr>
                  <w:tcW w:w="1003" w:type="dxa"/>
                  <w:vAlign w:val="center"/>
                </w:tcPr>
                <w:p>
                  <w:pPr>
                    <w:spacing w:line="240" w:lineRule="auto"/>
                    <w:ind w:firstLine="0" w:firstLine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45</w:t>
                  </w:r>
                </w:p>
              </w:tc>
              <w:tc>
                <w:tcPr>
                  <w:tcW w:w="975"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c>
                <w:tcPr>
                  <w:tcW w:w="741" w:type="dxa"/>
                  <w:vMerge w:val="continue"/>
                  <w:vAlign w:val="center"/>
                </w:tcPr>
                <w:p>
                  <w:pPr>
                    <w:spacing w:line="240" w:lineRule="auto"/>
                    <w:ind w:firstLine="0" w:firstLineChars="0"/>
                    <w:jc w:val="center"/>
                    <w:rPr>
                      <w:rFonts w:hint="eastAsia" w:ascii="宋体" w:hAnsi="宋体" w:eastAsia="宋体" w:cs="宋体"/>
                      <w:color w:val="auto"/>
                      <w:sz w:val="18"/>
                      <w:szCs w:val="18"/>
                      <w:lang w:val="en-US" w:eastAsia="zh-CN"/>
                    </w:rPr>
                  </w:pPr>
                </w:p>
              </w:tc>
            </w:tr>
          </w:tbl>
          <w:p>
            <w:pPr>
              <w:spacing w:line="360" w:lineRule="auto"/>
              <w:ind w:right="39"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从上表可以看出项目在运行过程中，项目厂界昼夜噪声值均能达到</w:t>
            </w:r>
            <w:r>
              <w:rPr>
                <w:rFonts w:hint="eastAsia" w:ascii="宋体" w:hAnsi="宋体" w:eastAsia="宋体" w:cs="宋体"/>
                <w:color w:val="auto"/>
                <w:sz w:val="24"/>
                <w:szCs w:val="24"/>
              </w:rPr>
              <w:t>《工业企业厂界环境噪声排放标准》（GB12348-2008）中的</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昼间60</w:t>
            </w:r>
            <w:r>
              <w:rPr>
                <w:rFonts w:hint="eastAsia" w:ascii="宋体" w:hAnsi="宋体" w:eastAsia="宋体" w:cs="宋体"/>
                <w:color w:val="auto"/>
                <w:sz w:val="24"/>
                <w:szCs w:val="24"/>
                <w:lang w:val="en-US" w:eastAsia="zh-CN"/>
              </w:rPr>
              <w:t>dB（A）</w:t>
            </w:r>
            <w:r>
              <w:rPr>
                <w:rFonts w:hint="eastAsia" w:ascii="宋体" w:hAnsi="宋体" w:eastAsia="宋体" w:cs="宋体"/>
                <w:color w:val="auto"/>
                <w:sz w:val="24"/>
                <w:szCs w:val="24"/>
              </w:rPr>
              <w:t>，夜间50</w:t>
            </w:r>
            <w:r>
              <w:rPr>
                <w:rFonts w:hint="eastAsia" w:ascii="宋体" w:hAnsi="宋体" w:eastAsia="宋体" w:cs="宋体"/>
                <w:color w:val="auto"/>
                <w:sz w:val="24"/>
                <w:szCs w:val="24"/>
                <w:lang w:val="en-US" w:eastAsia="zh-CN"/>
              </w:rPr>
              <w:t>dB（A））标准要求</w:t>
            </w:r>
            <w:r>
              <w:rPr>
                <w:rFonts w:hint="eastAsia" w:ascii="宋体" w:hAnsi="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保护目标噪声</w:t>
            </w:r>
            <w:r>
              <w:rPr>
                <w:rFonts w:hint="eastAsia" w:ascii="宋体" w:hAnsi="宋体" w:eastAsia="宋体" w:cs="宋体"/>
                <w:color w:val="auto"/>
                <w:sz w:val="24"/>
                <w:szCs w:val="24"/>
                <w:lang w:val="en-US" w:eastAsia="zh-CN"/>
              </w:rPr>
              <w:t>影响分析</w:t>
            </w:r>
          </w:p>
          <w:p>
            <w:pPr>
              <w:spacing w:line="360" w:lineRule="auto"/>
              <w:ind w:right="39"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本项目北侧40米的镇政府居住点</w:t>
            </w:r>
            <w:r>
              <w:rPr>
                <w:rFonts w:hint="eastAsia" w:ascii="宋体" w:hAnsi="宋体" w:cs="宋体"/>
                <w:color w:val="auto"/>
                <w:sz w:val="24"/>
                <w:szCs w:val="24"/>
                <w:lang w:val="en-US" w:eastAsia="zh-CN"/>
              </w:rPr>
              <w:t>及项目厂界四周</w:t>
            </w:r>
            <w:r>
              <w:rPr>
                <w:rFonts w:hint="eastAsia" w:ascii="宋体" w:hAnsi="宋体" w:eastAsia="宋体" w:cs="宋体"/>
                <w:color w:val="auto"/>
                <w:sz w:val="24"/>
                <w:szCs w:val="24"/>
                <w:lang w:val="en-US" w:eastAsia="zh-CN"/>
              </w:rPr>
              <w:t>噪声监测值</w:t>
            </w:r>
            <w:r>
              <w:rPr>
                <w:rFonts w:hint="eastAsia" w:ascii="宋体" w:hAnsi="宋体" w:cs="宋体"/>
                <w:color w:val="auto"/>
                <w:sz w:val="24"/>
                <w:szCs w:val="24"/>
                <w:lang w:val="en-US" w:eastAsia="zh-CN"/>
              </w:rPr>
              <w:t>均</w:t>
            </w:r>
            <w:r>
              <w:rPr>
                <w:rFonts w:hint="eastAsia" w:ascii="宋体" w:hAnsi="宋体" w:eastAsia="宋体" w:cs="宋体"/>
                <w:color w:val="auto"/>
                <w:sz w:val="24"/>
                <w:szCs w:val="24"/>
                <w:lang w:val="en-US" w:eastAsia="zh-CN"/>
              </w:rPr>
              <w:t>能够达到</w:t>
            </w:r>
            <w:r>
              <w:rPr>
                <w:rFonts w:hint="eastAsia" w:ascii="宋体" w:hAnsi="宋体" w:eastAsia="宋体" w:cs="宋体"/>
                <w:color w:val="auto"/>
                <w:sz w:val="24"/>
                <w:szCs w:val="24"/>
              </w:rPr>
              <w:t>《声环境质量标准》（GB3096-2008）</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类</w:t>
            </w:r>
            <w:r>
              <w:rPr>
                <w:rFonts w:hint="eastAsia" w:ascii="宋体" w:hAnsi="宋体" w:eastAsia="宋体" w:cs="宋体"/>
                <w:color w:val="auto"/>
                <w:sz w:val="24"/>
                <w:szCs w:val="24"/>
                <w:lang w:val="en-US" w:eastAsia="zh-CN"/>
              </w:rPr>
              <w:t>标准。</w:t>
            </w:r>
          </w:p>
          <w:p>
            <w:pPr>
              <w:spacing w:line="360" w:lineRule="auto"/>
              <w:ind w:right="39"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因此项目对敏感目标的影响较小。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声监测计划</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根据《排污单位自行监测技术指南 总则》（HJ 819-2017）</w:t>
            </w:r>
            <w:r>
              <w:rPr>
                <w:rFonts w:hint="eastAsia" w:ascii="宋体" w:hAnsi="宋体" w:eastAsia="宋体" w:cs="宋体"/>
                <w:color w:val="auto"/>
                <w:sz w:val="24"/>
                <w:szCs w:val="24"/>
                <w:lang w:val="en-US" w:eastAsia="zh-CN"/>
              </w:rPr>
              <w:t>、《排污许可证申请与核发技术规范--噪声（HJ 1301-2023）》</w:t>
            </w:r>
            <w:r>
              <w:rPr>
                <w:rFonts w:hint="eastAsia" w:ascii="宋体" w:hAnsi="宋体" w:eastAsia="宋体" w:cs="宋体"/>
                <w:color w:val="auto"/>
                <w:sz w:val="24"/>
                <w:szCs w:val="24"/>
              </w:rPr>
              <w:t>，项目运营期噪声监测计划见表4-</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黑体" w:hAnsi="黑体" w:eastAsia="黑体" w:cs="黑体"/>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表4-</w:t>
            </w:r>
            <w:r>
              <w:rPr>
                <w:rFonts w:hint="eastAsia" w:ascii="黑体" w:hAnsi="黑体" w:eastAsia="黑体" w:cs="黑体"/>
                <w:color w:val="auto"/>
                <w:sz w:val="21"/>
                <w:szCs w:val="21"/>
                <w:lang w:val="en-US" w:eastAsia="zh-CN"/>
              </w:rPr>
              <w:t>8</w:t>
            </w:r>
            <w:r>
              <w:rPr>
                <w:rFonts w:hint="eastAsia" w:ascii="黑体" w:hAnsi="黑体" w:eastAsia="黑体" w:cs="黑体"/>
                <w:color w:val="auto"/>
                <w:sz w:val="21"/>
                <w:szCs w:val="21"/>
              </w:rPr>
              <w:t>运营期噪声监测计划一览表</w:t>
            </w:r>
          </w:p>
          <w:tbl>
            <w:tblPr>
              <w:tblStyle w:val="2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18"/>
              <w:gridCol w:w="1262"/>
              <w:gridCol w:w="1219"/>
              <w:gridCol w:w="2169"/>
              <w:gridCol w:w="657"/>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34" w:type="dxa"/>
                  <w:vAlign w:val="center"/>
                </w:tcPr>
                <w:p>
                  <w:pPr>
                    <w:spacing w:line="3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监测项目</w:t>
                  </w:r>
                </w:p>
              </w:tc>
              <w:tc>
                <w:tcPr>
                  <w:tcW w:w="1218"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监测点位</w:t>
                  </w:r>
                </w:p>
              </w:tc>
              <w:tc>
                <w:tcPr>
                  <w:tcW w:w="1262"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监测频次</w:t>
                  </w:r>
                </w:p>
              </w:tc>
              <w:tc>
                <w:tcPr>
                  <w:tcW w:w="1219"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监测因子</w:t>
                  </w:r>
                </w:p>
              </w:tc>
              <w:tc>
                <w:tcPr>
                  <w:tcW w:w="2169"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执行标准</w:t>
                  </w:r>
                </w:p>
              </w:tc>
              <w:tc>
                <w:tcPr>
                  <w:tcW w:w="657"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采样</w:t>
                  </w:r>
                </w:p>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时间</w:t>
                  </w:r>
                </w:p>
              </w:tc>
              <w:tc>
                <w:tcPr>
                  <w:tcW w:w="774"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实施</w:t>
                  </w:r>
                </w:p>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634" w:type="dxa"/>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噪声</w:t>
                  </w:r>
                </w:p>
              </w:tc>
              <w:tc>
                <w:tcPr>
                  <w:tcW w:w="1218"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四周厂界外1m处</w:t>
                  </w:r>
                </w:p>
              </w:tc>
              <w:tc>
                <w:tcPr>
                  <w:tcW w:w="1262"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每季度1次，每次2天，每天昼夜各一次</w:t>
                  </w:r>
                </w:p>
              </w:tc>
              <w:tc>
                <w:tcPr>
                  <w:tcW w:w="1219"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等效连续A声级</w:t>
                  </w:r>
                </w:p>
              </w:tc>
              <w:tc>
                <w:tcPr>
                  <w:tcW w:w="2169"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《工业企业厂界环境噪声排放标准》（GB12348-2008）中的2类标准</w:t>
                  </w:r>
                </w:p>
              </w:tc>
              <w:tc>
                <w:tcPr>
                  <w:tcW w:w="657"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正常</w:t>
                  </w:r>
                  <w:r>
                    <w:rPr>
                      <w:rFonts w:hint="eastAsia" w:ascii="宋体" w:hAnsi="宋体" w:eastAsia="宋体" w:cs="宋体"/>
                      <w:color w:val="auto"/>
                      <w:sz w:val="21"/>
                      <w:szCs w:val="21"/>
                      <w:lang w:eastAsia="zh-CN"/>
                    </w:rPr>
                    <w:t>运行</w:t>
                  </w:r>
                  <w:r>
                    <w:rPr>
                      <w:rFonts w:hint="eastAsia" w:ascii="宋体" w:hAnsi="宋体" w:eastAsia="宋体" w:cs="宋体"/>
                      <w:color w:val="auto"/>
                      <w:sz w:val="21"/>
                      <w:szCs w:val="21"/>
                    </w:rPr>
                    <w:t>期间</w:t>
                  </w:r>
                </w:p>
              </w:tc>
              <w:tc>
                <w:tcPr>
                  <w:tcW w:w="774"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有资质的监测单位</w:t>
                  </w:r>
                </w:p>
              </w:tc>
            </w:tr>
          </w:tbl>
          <w:p>
            <w:pPr>
              <w:keepNext w:val="0"/>
              <w:keepLines w:val="0"/>
              <w:pageBreakBefore w:val="0"/>
              <w:widowControl/>
              <w:suppressLineNumber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en-US" w:eastAsia="zh-CN"/>
              </w:rPr>
              <w:t>4.2.5</w:t>
            </w:r>
            <w:r>
              <w:rPr>
                <w:rFonts w:hint="eastAsia" w:ascii="宋体" w:hAnsi="宋体" w:eastAsia="宋体" w:cs="宋体"/>
                <w:b/>
                <w:bCs/>
                <w:color w:val="auto"/>
                <w:sz w:val="24"/>
                <w:szCs w:val="24"/>
              </w:rPr>
              <w:t>固体废弃物</w:t>
            </w:r>
            <w:r>
              <w:rPr>
                <w:rFonts w:hint="eastAsia" w:ascii="宋体" w:hAnsi="宋体" w:eastAsia="宋体" w:cs="宋体"/>
                <w:b/>
                <w:bCs/>
                <w:color w:val="auto"/>
                <w:sz w:val="24"/>
                <w:szCs w:val="24"/>
                <w:lang w:val="en-US" w:eastAsia="zh-CN"/>
              </w:rPr>
              <w:t>影响及保护措施</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1、固废产生情况</w:t>
            </w:r>
          </w:p>
          <w:p>
            <w:pPr>
              <w:spacing w:line="360" w:lineRule="auto"/>
              <w:ind w:firstLine="480" w:firstLineChars="200"/>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rPr>
              <w:t>项目运营期固体废弃物主要包括医疗废弃物、生活垃圾以及</w:t>
            </w:r>
            <w:r>
              <w:rPr>
                <w:rFonts w:hint="eastAsia" w:ascii="宋体" w:hAnsi="宋体" w:eastAsia="宋体" w:cs="宋体"/>
                <w:color w:val="auto"/>
                <w:sz w:val="24"/>
                <w:szCs w:val="24"/>
                <w:lang w:val="en-US" w:eastAsia="zh-CN"/>
              </w:rPr>
              <w:t>污水处理设施</w:t>
            </w:r>
            <w:r>
              <w:rPr>
                <w:rFonts w:hint="eastAsia" w:ascii="宋体" w:hAnsi="宋体" w:eastAsia="宋体" w:cs="宋体"/>
                <w:color w:val="auto"/>
                <w:sz w:val="24"/>
                <w:szCs w:val="24"/>
              </w:rPr>
              <w:t>污泥等。</w:t>
            </w:r>
          </w:p>
          <w:p>
            <w:pPr>
              <w:tabs>
                <w:tab w:val="left" w:pos="3915"/>
              </w:tabs>
              <w:spacing w:line="360" w:lineRule="auto"/>
              <w:ind w:firstLine="480" w:firstLineChars="200"/>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①</w:t>
            </w:r>
            <w:r>
              <w:rPr>
                <w:rFonts w:hint="eastAsia" w:ascii="宋体" w:hAnsi="宋体" w:eastAsia="宋体" w:cs="宋体"/>
                <w:color w:val="auto"/>
                <w:sz w:val="24"/>
                <w:szCs w:val="24"/>
              </w:rPr>
              <w:t>生活垃圾</w:t>
            </w:r>
          </w:p>
          <w:p>
            <w:pPr>
              <w:tabs>
                <w:tab w:val="left" w:pos="3915"/>
              </w:tabs>
              <w:spacing w:line="360" w:lineRule="auto"/>
              <w:ind w:firstLine="480" w:firstLineChars="200"/>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rPr>
              <w:t>医院日常生活垃圾来源于医护人员、门诊病患及住院病患，其中医护人员</w:t>
            </w:r>
            <w:r>
              <w:rPr>
                <w:rFonts w:hint="eastAsia" w:ascii="宋体" w:hAnsi="宋体" w:eastAsia="宋体" w:cs="宋体"/>
                <w:color w:val="auto"/>
                <w:sz w:val="24"/>
                <w:szCs w:val="24"/>
                <w:lang w:val="en-US" w:eastAsia="zh-CN"/>
              </w:rPr>
              <w:t>64</w:t>
            </w:r>
            <w:r>
              <w:rPr>
                <w:rFonts w:hint="eastAsia" w:ascii="宋体" w:hAnsi="宋体" w:eastAsia="宋体" w:cs="宋体"/>
                <w:color w:val="auto"/>
                <w:sz w:val="24"/>
                <w:szCs w:val="24"/>
              </w:rPr>
              <w:t>人、门诊患者</w:t>
            </w:r>
            <w:r>
              <w:rPr>
                <w:rFonts w:hint="eastAsia" w:ascii="宋体" w:hAnsi="宋体" w:eastAsia="宋体" w:cs="宋体"/>
                <w:color w:val="auto"/>
                <w:sz w:val="24"/>
                <w:szCs w:val="24"/>
                <w:lang w:val="en-US" w:eastAsia="zh-CN"/>
              </w:rPr>
              <w:t>100</w:t>
            </w:r>
            <w:r>
              <w:rPr>
                <w:rFonts w:hint="eastAsia" w:ascii="宋体" w:hAnsi="宋体" w:eastAsia="宋体" w:cs="宋体"/>
                <w:color w:val="auto"/>
                <w:sz w:val="24"/>
                <w:szCs w:val="24"/>
              </w:rPr>
              <w:t>人/d、住院病患</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人/d，合计</w:t>
            </w:r>
            <w:r>
              <w:rPr>
                <w:rFonts w:hint="eastAsia" w:ascii="宋体" w:hAnsi="宋体" w:eastAsia="宋体" w:cs="宋体"/>
                <w:color w:val="auto"/>
                <w:sz w:val="24"/>
                <w:szCs w:val="24"/>
                <w:lang w:val="en-US" w:eastAsia="zh-CN"/>
              </w:rPr>
              <w:t>184</w:t>
            </w:r>
            <w:r>
              <w:rPr>
                <w:rFonts w:hint="eastAsia" w:ascii="宋体" w:hAnsi="宋体" w:eastAsia="宋体" w:cs="宋体"/>
                <w:color w:val="auto"/>
                <w:sz w:val="24"/>
                <w:szCs w:val="24"/>
              </w:rPr>
              <w:t>人，</w:t>
            </w:r>
            <w:r>
              <w:rPr>
                <w:rFonts w:hint="eastAsia" w:ascii="宋体" w:hAnsi="宋体" w:eastAsia="宋体" w:cs="宋体"/>
                <w:color w:val="auto"/>
                <w:sz w:val="24"/>
                <w:szCs w:val="24"/>
                <w:lang w:val="en-US" w:eastAsia="zh-CN"/>
              </w:rPr>
              <w:t>根据项目的实际运营情况。本项目</w:t>
            </w:r>
            <w:r>
              <w:rPr>
                <w:rFonts w:hint="eastAsia" w:ascii="宋体" w:hAnsi="宋体" w:eastAsia="宋体" w:cs="宋体"/>
                <w:color w:val="auto"/>
                <w:sz w:val="24"/>
                <w:szCs w:val="24"/>
              </w:rPr>
              <w:t>生活垃圾产生量按照</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kg/d</w:t>
            </w:r>
            <w:r>
              <w:rPr>
                <w:rFonts w:hint="eastAsia" w:ascii="宋体" w:hAnsi="宋体" w:eastAsia="宋体" w:cs="宋体"/>
                <w:color w:val="auto"/>
                <w:sz w:val="24"/>
                <w:szCs w:val="24"/>
                <w:lang w:val="en-US" w:eastAsia="zh-CN"/>
              </w:rPr>
              <w:t>·人</w:t>
            </w:r>
            <w:r>
              <w:rPr>
                <w:rFonts w:hint="eastAsia" w:ascii="宋体" w:hAnsi="宋体" w:eastAsia="宋体" w:cs="宋体"/>
                <w:color w:val="auto"/>
                <w:sz w:val="24"/>
                <w:szCs w:val="24"/>
              </w:rPr>
              <w:t>计，则生活垃圾产生量约为</w:t>
            </w:r>
            <w:r>
              <w:rPr>
                <w:rFonts w:hint="eastAsia" w:ascii="宋体" w:hAnsi="宋体" w:eastAsia="宋体" w:cs="宋体"/>
                <w:color w:val="auto"/>
                <w:sz w:val="24"/>
                <w:szCs w:val="24"/>
                <w:lang w:val="en-US" w:eastAsia="zh-CN"/>
              </w:rPr>
              <w:t>92</w:t>
            </w:r>
            <w:r>
              <w:rPr>
                <w:rFonts w:hint="eastAsia" w:ascii="宋体" w:hAnsi="宋体" w:eastAsia="宋体" w:cs="宋体"/>
                <w:color w:val="auto"/>
                <w:sz w:val="24"/>
                <w:szCs w:val="24"/>
              </w:rPr>
              <w:t>kg/d</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33.58</w:t>
            </w:r>
            <w:r>
              <w:rPr>
                <w:rFonts w:hint="eastAsia" w:ascii="宋体" w:hAnsi="宋体" w:eastAsia="宋体" w:cs="宋体"/>
                <w:color w:val="auto"/>
                <w:sz w:val="24"/>
                <w:szCs w:val="24"/>
              </w:rPr>
              <w:t>t/a。生活垃圾统一分类收集后委托环卫部门清运。</w:t>
            </w:r>
          </w:p>
          <w:p>
            <w:pPr>
              <w:widowControl/>
              <w:suppressLineNumber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②</w:t>
            </w:r>
            <w:r>
              <w:rPr>
                <w:rFonts w:hint="eastAsia" w:ascii="宋体" w:hAnsi="宋体" w:eastAsia="宋体" w:cs="宋体"/>
                <w:color w:val="auto"/>
                <w:sz w:val="24"/>
                <w:szCs w:val="24"/>
                <w:lang w:eastAsia="zh-CN"/>
              </w:rPr>
              <w:t>污水处理设施污泥</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本项目在建设有化粪池、</w:t>
            </w:r>
            <w:r>
              <w:rPr>
                <w:rFonts w:hint="eastAsia" w:ascii="宋体" w:hAnsi="宋体" w:eastAsia="宋体" w:cs="宋体"/>
                <w:color w:val="auto"/>
                <w:sz w:val="24"/>
                <w:szCs w:val="24"/>
                <w:lang w:val="en-US" w:eastAsia="zh-CN"/>
              </w:rPr>
              <w:t>污水处理设施</w:t>
            </w:r>
            <w:r>
              <w:rPr>
                <w:rFonts w:hint="eastAsia" w:ascii="宋体" w:hAnsi="宋体" w:eastAsia="宋体" w:cs="宋体"/>
                <w:color w:val="auto"/>
                <w:sz w:val="24"/>
                <w:szCs w:val="24"/>
                <w:lang w:eastAsia="zh-CN"/>
              </w:rPr>
              <w:t>对</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lang w:eastAsia="zh-CN"/>
              </w:rPr>
              <w:t>废水进行处理，达标之后再排入</w:t>
            </w:r>
            <w:r>
              <w:rPr>
                <w:rFonts w:hint="eastAsia" w:ascii="宋体" w:hAnsi="宋体" w:eastAsia="宋体" w:cs="宋体"/>
                <w:color w:val="auto"/>
                <w:sz w:val="24"/>
                <w:szCs w:val="24"/>
                <w:lang w:val="en-US" w:eastAsia="zh-CN"/>
              </w:rPr>
              <w:t>市政污水管网</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废水进行处理过程中将产生少量污泥，本项</w:t>
            </w:r>
            <w:r>
              <w:rPr>
                <w:rFonts w:hint="eastAsia" w:ascii="宋体" w:hAnsi="宋体" w:eastAsia="宋体" w:cs="宋体"/>
                <w:color w:val="auto"/>
                <w:sz w:val="24"/>
                <w:szCs w:val="24"/>
                <w:lang w:eastAsia="zh-CN"/>
              </w:rPr>
              <w:t>目进入污水处理设施的废水量约为</w:t>
            </w:r>
            <w:r>
              <w:rPr>
                <w:rFonts w:hint="eastAsia" w:ascii="宋体" w:hAnsi="宋体" w:eastAsia="宋体" w:cs="宋体"/>
                <w:color w:val="auto"/>
                <w:sz w:val="24"/>
                <w:szCs w:val="24"/>
                <w:lang w:val="en-US" w:eastAsia="zh-CN"/>
              </w:rPr>
              <w:t>7.602m³/d，2774.73m³/a</w:t>
            </w:r>
            <w:r>
              <w:rPr>
                <w:rFonts w:hint="eastAsia" w:ascii="宋体" w:hAnsi="宋体" w:eastAsia="宋体" w:cs="宋体"/>
                <w:color w:val="auto"/>
                <w:sz w:val="24"/>
                <w:szCs w:val="24"/>
                <w:lang w:eastAsia="zh-CN"/>
              </w:rPr>
              <w:t>。污泥主要来源于SS和BOD</w:t>
            </w:r>
            <w:r>
              <w:rPr>
                <w:rFonts w:hint="eastAsia" w:ascii="宋体" w:hAnsi="宋体" w:eastAsia="宋体" w:cs="宋体"/>
                <w:color w:val="auto"/>
                <w:sz w:val="24"/>
                <w:szCs w:val="24"/>
                <w:vertAlign w:val="subscript"/>
                <w:lang w:eastAsia="zh-CN"/>
              </w:rPr>
              <w:t>5</w:t>
            </w:r>
            <w:r>
              <w:rPr>
                <w:rFonts w:hint="eastAsia" w:ascii="宋体" w:hAnsi="宋体" w:eastAsia="宋体" w:cs="宋体"/>
                <w:color w:val="auto"/>
                <w:sz w:val="24"/>
                <w:szCs w:val="24"/>
                <w:lang w:eastAsia="zh-CN"/>
              </w:rPr>
              <w:t>的去除。项目SS消减量为</w:t>
            </w:r>
            <w:r>
              <w:rPr>
                <w:rFonts w:hint="eastAsia" w:ascii="宋体" w:hAnsi="宋体" w:eastAsia="宋体" w:cs="宋体"/>
                <w:color w:val="auto"/>
                <w:sz w:val="24"/>
                <w:szCs w:val="24"/>
                <w:lang w:val="en-US" w:eastAsia="zh-CN"/>
              </w:rPr>
              <w:t>0.176</w:t>
            </w:r>
            <w:r>
              <w:rPr>
                <w:rFonts w:hint="eastAsia" w:ascii="宋体" w:hAnsi="宋体" w:eastAsia="宋体" w:cs="宋体"/>
                <w:color w:val="auto"/>
                <w:sz w:val="24"/>
                <w:szCs w:val="24"/>
                <w:lang w:eastAsia="zh-CN"/>
              </w:rPr>
              <w:t>t/a，BOD</w:t>
            </w:r>
            <w:r>
              <w:rPr>
                <w:rFonts w:hint="eastAsia" w:ascii="宋体" w:hAnsi="宋体" w:eastAsia="宋体" w:cs="宋体"/>
                <w:color w:val="auto"/>
                <w:sz w:val="24"/>
                <w:szCs w:val="24"/>
                <w:vertAlign w:val="subscript"/>
                <w:lang w:eastAsia="zh-CN"/>
              </w:rPr>
              <w:t>5</w:t>
            </w:r>
            <w:r>
              <w:rPr>
                <w:rFonts w:hint="eastAsia" w:ascii="宋体" w:hAnsi="宋体" w:eastAsia="宋体" w:cs="宋体"/>
                <w:color w:val="auto"/>
                <w:sz w:val="24"/>
                <w:szCs w:val="24"/>
                <w:lang w:eastAsia="zh-CN"/>
              </w:rPr>
              <w:t>消减量为</w:t>
            </w:r>
            <w:r>
              <w:rPr>
                <w:rFonts w:hint="eastAsia" w:ascii="宋体" w:hAnsi="宋体" w:eastAsia="宋体" w:cs="宋体"/>
                <w:color w:val="auto"/>
                <w:sz w:val="24"/>
                <w:szCs w:val="24"/>
                <w:lang w:val="en-US" w:eastAsia="zh-CN"/>
              </w:rPr>
              <w:t>0.252</w:t>
            </w:r>
            <w:r>
              <w:rPr>
                <w:rFonts w:hint="eastAsia" w:ascii="宋体" w:hAnsi="宋体" w:eastAsia="宋体" w:cs="宋体"/>
                <w:color w:val="auto"/>
                <w:sz w:val="24"/>
                <w:szCs w:val="24"/>
                <w:lang w:eastAsia="zh-CN"/>
              </w:rPr>
              <w:t>t/a，以每去除1kgBOD</w:t>
            </w:r>
            <w:r>
              <w:rPr>
                <w:rFonts w:hint="eastAsia" w:ascii="宋体" w:hAnsi="宋体" w:eastAsia="宋体" w:cs="宋体"/>
                <w:color w:val="auto"/>
                <w:sz w:val="24"/>
                <w:szCs w:val="24"/>
                <w:vertAlign w:val="subscript"/>
                <w:lang w:eastAsia="zh-CN"/>
              </w:rPr>
              <w:t>5</w:t>
            </w:r>
            <w:r>
              <w:rPr>
                <w:rFonts w:hint="eastAsia" w:ascii="宋体" w:hAnsi="宋体" w:eastAsia="宋体" w:cs="宋体"/>
                <w:color w:val="auto"/>
                <w:sz w:val="24"/>
                <w:szCs w:val="24"/>
                <w:lang w:eastAsia="zh-CN"/>
              </w:rPr>
              <w:t>产生污泥0.8kg计（即</w:t>
            </w:r>
            <w:r>
              <w:rPr>
                <w:rFonts w:hint="eastAsia" w:ascii="宋体" w:hAnsi="宋体" w:eastAsia="宋体" w:cs="宋体"/>
                <w:color w:val="auto"/>
                <w:sz w:val="24"/>
                <w:szCs w:val="24"/>
                <w:lang w:val="en-US" w:eastAsia="zh-CN"/>
              </w:rPr>
              <w:t>80%</w:t>
            </w:r>
            <w:r>
              <w:rPr>
                <w:rFonts w:hint="eastAsia" w:ascii="宋体" w:hAnsi="宋体" w:eastAsia="宋体" w:cs="宋体"/>
                <w:color w:val="auto"/>
                <w:sz w:val="24"/>
                <w:szCs w:val="24"/>
                <w:lang w:eastAsia="zh-CN"/>
              </w:rPr>
              <w:t>），污泥产生量约为</w:t>
            </w:r>
            <w:r>
              <w:rPr>
                <w:rFonts w:hint="eastAsia" w:ascii="宋体" w:hAnsi="宋体" w:eastAsia="宋体" w:cs="宋体"/>
                <w:color w:val="auto"/>
                <w:sz w:val="24"/>
                <w:szCs w:val="24"/>
                <w:lang w:val="en-US" w:eastAsia="zh-CN"/>
              </w:rPr>
              <w:t>0.378t</w:t>
            </w:r>
            <w:r>
              <w:rPr>
                <w:rFonts w:hint="eastAsia" w:ascii="宋体" w:hAnsi="宋体" w:eastAsia="宋体" w:cs="宋体"/>
                <w:color w:val="auto"/>
                <w:sz w:val="24"/>
                <w:szCs w:val="24"/>
                <w:lang w:eastAsia="zh-CN"/>
              </w:rPr>
              <w:t>/a。</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根据《医疗机构水污染物排放标准》（GB18466-2005）中</w:t>
            </w:r>
            <w:r>
              <w:rPr>
                <w:rFonts w:hint="eastAsia" w:ascii="宋体" w:hAnsi="宋体" w:eastAsia="宋体" w:cs="宋体"/>
                <w:color w:val="auto"/>
                <w:sz w:val="24"/>
                <w:szCs w:val="24"/>
                <w:lang w:val="en-US" w:eastAsia="zh-CN"/>
              </w:rPr>
              <w:t>4.3.1“栅渣、化粪池和污水处理设施污泥属于危险废物，应按危险废物进行处理和处置”。</w:t>
            </w:r>
            <w:r>
              <w:rPr>
                <w:rFonts w:hint="eastAsia" w:ascii="宋体" w:hAnsi="宋体" w:eastAsia="宋体" w:cs="宋体"/>
                <w:color w:val="auto"/>
                <w:sz w:val="24"/>
                <w:szCs w:val="24"/>
              </w:rPr>
              <w:t>按照《国家危险废物名录》（2021年版），污泥及栅渣属于危险废物，危废代码为HW49（772-006-49）（采用物理、化学、物理化学或生物方法处理或处置毒性或感染性危险废物过程中产生的废水处理污泥、残渣（液））</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项目区污泥消毒、自然干化后，及时委托有资质的单位清运处置，不在项目区暂存，所以项目不设置危险废物暂存间。</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医院污水处理工程技术规范》(HJ2029-2013)及《医疗机构废水污染物排放标准》（GB18466-2005）中相关要求对污泥进行处理处置。根据其中相关要求，本次环评要求建设单位需要按照下面的相关要求对污泥进行处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污泥消毒：污泥池有效容积应不小于处理系统24h产泥量，且不宜小于1m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。本项目污水处理站配套建设</w:t>
            </w:r>
            <w:r>
              <w:rPr>
                <w:rFonts w:hint="eastAsia" w:ascii="宋体" w:hAnsi="宋体" w:cs="宋体"/>
                <w:color w:val="auto"/>
                <w:sz w:val="24"/>
                <w:szCs w:val="24"/>
                <w:lang w:val="en-US" w:eastAsia="zh-CN"/>
              </w:rPr>
              <w:t>有</w:t>
            </w:r>
            <w:r>
              <w:rPr>
                <w:rFonts w:hint="eastAsia" w:ascii="宋体" w:hAnsi="宋体" w:eastAsia="宋体" w:cs="宋体"/>
                <w:color w:val="auto"/>
                <w:sz w:val="24"/>
                <w:szCs w:val="24"/>
              </w:rPr>
              <w:t>1个</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的污泥池，并定期投加石灰对污泥进行消毒。</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污泥脱水：由于项目污水量小，考虑建设成本，污泥采用自然干化。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污泥的处置：污泥不在项目区暂存，及时委托有资质的单位清运处置。</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污泥的清掏：污泥清掏时间为180～360d，污泥清掏前应该满足《医疗机构废水污染物排放标准》（GB18466-2005）中对污泥控制标准要求。（即粪大肠菌群≤100MPN/g，蛔虫卵死亡率＞95%）委托有资质单位进行清运处置。</w:t>
            </w:r>
          </w:p>
          <w:p>
            <w:pPr>
              <w:tabs>
                <w:tab w:val="left" w:pos="3915"/>
              </w:tabs>
              <w:spacing w:line="360" w:lineRule="auto"/>
              <w:ind w:firstLine="480" w:firstLineChars="200"/>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③</w:t>
            </w:r>
            <w:r>
              <w:rPr>
                <w:rFonts w:hint="eastAsia" w:ascii="宋体" w:hAnsi="宋体" w:eastAsia="宋体" w:cs="宋体"/>
                <w:color w:val="auto"/>
                <w:sz w:val="24"/>
                <w:szCs w:val="24"/>
              </w:rPr>
              <w:t>医疗废物</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参照《医疗废物管理条例》及《医疗废物分类目录》（2021年版），医疗废物分为感染性废物、病理性废物、损伤性废物、药物性废物、化学性废物等5类，具体内容详见</w:t>
            </w:r>
            <w:r>
              <w:rPr>
                <w:rFonts w:hint="eastAsia" w:ascii="宋体" w:hAnsi="宋体" w:cs="宋体"/>
                <w:color w:val="auto"/>
                <w:sz w:val="24"/>
                <w:szCs w:val="24"/>
                <w:lang w:val="en-US" w:eastAsia="zh-CN"/>
              </w:rPr>
              <w:t>下</w:t>
            </w:r>
            <w:r>
              <w:rPr>
                <w:rFonts w:hint="eastAsia" w:ascii="宋体" w:hAnsi="宋体" w:eastAsia="宋体" w:cs="宋体"/>
                <w:color w:val="auto"/>
                <w:sz w:val="24"/>
                <w:szCs w:val="24"/>
                <w:lang w:val="en-US" w:eastAsia="zh-CN"/>
              </w:rPr>
              <w:t>表所示。</w:t>
            </w:r>
          </w:p>
          <w:p>
            <w:pPr>
              <w:ind w:firstLine="2100" w:firstLineChars="1000"/>
              <w:jc w:val="both"/>
              <w:rPr>
                <w:rFonts w:hint="eastAsia" w:ascii="黑体" w:hAnsi="黑体" w:eastAsia="黑体" w:cs="黑体"/>
                <w:color w:val="auto"/>
                <w:sz w:val="21"/>
                <w:szCs w:val="21"/>
              </w:rPr>
            </w:pPr>
            <w:r>
              <w:rPr>
                <w:rFonts w:hint="eastAsia" w:ascii="黑体" w:hAnsi="黑体" w:eastAsia="黑体" w:cs="黑体"/>
                <w:color w:val="auto"/>
                <w:sz w:val="21"/>
                <w:szCs w:val="21"/>
              </w:rPr>
              <w:t>表</w:t>
            </w:r>
            <w:r>
              <w:rPr>
                <w:rFonts w:hint="eastAsia" w:ascii="黑体" w:hAnsi="黑体" w:eastAsia="黑体" w:cs="黑体"/>
                <w:color w:val="auto"/>
                <w:sz w:val="21"/>
                <w:szCs w:val="21"/>
                <w:lang w:val="en-US" w:eastAsia="zh-CN"/>
              </w:rPr>
              <w:t>4</w:t>
            </w:r>
            <w:r>
              <w:rPr>
                <w:rFonts w:hint="eastAsia" w:ascii="黑体" w:hAnsi="黑体" w:eastAsia="黑体" w:cs="黑体"/>
                <w:color w:val="auto"/>
                <w:sz w:val="21"/>
                <w:szCs w:val="21"/>
              </w:rPr>
              <w:t>-</w:t>
            </w:r>
            <w:r>
              <w:rPr>
                <w:rFonts w:hint="eastAsia" w:ascii="黑体" w:hAnsi="黑体" w:eastAsia="黑体" w:cs="黑体"/>
                <w:color w:val="auto"/>
                <w:sz w:val="21"/>
                <w:szCs w:val="21"/>
                <w:lang w:val="en-US" w:eastAsia="zh-CN"/>
              </w:rPr>
              <w:t>9</w:t>
            </w:r>
            <w:r>
              <w:rPr>
                <w:rFonts w:hint="eastAsia" w:ascii="黑体" w:hAnsi="黑体" w:eastAsia="黑体" w:cs="黑体"/>
                <w:color w:val="auto"/>
                <w:sz w:val="21"/>
                <w:szCs w:val="21"/>
              </w:rPr>
              <w:t xml:space="preserve"> 医疗废物分类目录</w:t>
            </w:r>
          </w:p>
          <w:tbl>
            <w:tblPr>
              <w:tblStyle w:val="26"/>
              <w:tblW w:w="79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1222"/>
              <w:gridCol w:w="3086"/>
              <w:gridCol w:w="2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类别</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特征</w:t>
                  </w:r>
                </w:p>
              </w:tc>
              <w:tc>
                <w:tcPr>
                  <w:tcW w:w="308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常见组分或者废物名称</w:t>
                  </w:r>
                </w:p>
              </w:tc>
              <w:tc>
                <w:tcPr>
                  <w:tcW w:w="28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收集方式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感染性废物</w:t>
                  </w:r>
                </w:p>
              </w:tc>
              <w:tc>
                <w:tcPr>
                  <w:tcW w:w="1222"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携带病原微生物，具有引发感染性疾病传播危险的医疗废物</w:t>
                  </w:r>
                </w:p>
              </w:tc>
              <w:tc>
                <w:tcPr>
                  <w:tcW w:w="308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1．被</w:t>
                  </w:r>
                  <w:r>
                    <w:rPr>
                      <w:rFonts w:hint="eastAsia" w:ascii="宋体" w:hAnsi="宋体" w:eastAsia="宋体" w:cs="宋体"/>
                      <w:color w:val="auto"/>
                      <w:sz w:val="18"/>
                      <w:szCs w:val="18"/>
                      <w:lang w:val="en-US" w:eastAsia="zh-CN"/>
                    </w:rPr>
                    <w:t>患者</w:t>
                  </w:r>
                  <w:r>
                    <w:rPr>
                      <w:rFonts w:hint="eastAsia" w:ascii="宋体" w:hAnsi="宋体" w:eastAsia="宋体" w:cs="宋体"/>
                      <w:color w:val="auto"/>
                      <w:sz w:val="18"/>
                      <w:szCs w:val="18"/>
                    </w:rPr>
                    <w:t>血液、体液、排泄物污染的物品，包括</w:t>
                  </w:r>
                  <w:r>
                    <w:rPr>
                      <w:rFonts w:hint="eastAsia" w:ascii="宋体" w:hAnsi="宋体" w:eastAsia="宋体" w:cs="宋体"/>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使用后废弃</w:t>
                  </w:r>
                  <w:r>
                    <w:rPr>
                      <w:rFonts w:hint="eastAsia" w:ascii="宋体" w:hAnsi="宋体" w:eastAsia="宋体" w:cs="宋体"/>
                      <w:color w:val="auto"/>
                      <w:sz w:val="18"/>
                      <w:szCs w:val="18"/>
                    </w:rPr>
                    <w:t>一次性使用医疗器械</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如注射器、输液器、透析器等；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病原微生物实验室废弃的病原体培养基、标本，菌种和毒种保存液及其容器；其他实验室及科室废弃的血液、</w:t>
                  </w:r>
                  <w:r>
                    <w:rPr>
                      <w:rFonts w:hint="eastAsia" w:ascii="宋体" w:hAnsi="宋体" w:eastAsia="宋体" w:cs="宋体"/>
                      <w:color w:val="auto"/>
                      <w:sz w:val="18"/>
                      <w:szCs w:val="18"/>
                    </w:rPr>
                    <w:t>血清</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分泌物等标本和容器；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隔离传染病患者或者疑似传染病患者产生的废弃物。</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rPr>
                  </w:pPr>
                </w:p>
              </w:tc>
              <w:tc>
                <w:tcPr>
                  <w:tcW w:w="2876" w:type="dxa"/>
                  <w:tcBorders>
                    <w:top w:val="single" w:color="000000" w:sz="4" w:space="0"/>
                    <w:left w:val="single" w:color="auto" w:sz="4" w:space="0"/>
                    <w:right w:val="single" w:color="000000" w:sz="4" w:space="0"/>
                  </w:tcBorders>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收集于符合《医疗废物专用包装袋、容器和警示标志标准》（HJ421）的医疗废物包装袋中；2. 病原微生物实验室废弃的病原体培养基、标本菌种和毒种保存液及其容器，应在产生地点进行压力蒸汽灭菌或者使用其他方式消毒，然后按感染性废物收集处理；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3. 隔离传染病患者或者疑似传染病患者产生的废弃物应当使用双层医疗废弃包装袋盛装。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损伤性废物</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能够刺伤或者割伤人体的废弃的医用锐器</w:t>
                  </w:r>
                </w:p>
              </w:tc>
              <w:tc>
                <w:tcPr>
                  <w:tcW w:w="308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w:t>
                  </w:r>
                  <w:r>
                    <w:rPr>
                      <w:rFonts w:hint="eastAsia" w:ascii="宋体" w:hAnsi="宋体" w:eastAsia="宋体" w:cs="宋体"/>
                      <w:color w:val="auto"/>
                      <w:sz w:val="18"/>
                      <w:szCs w:val="18"/>
                      <w:lang w:val="en-US" w:eastAsia="zh-CN"/>
                    </w:rPr>
                    <w:t>废弃的金属锐器，如</w:t>
                  </w:r>
                  <w:r>
                    <w:rPr>
                      <w:rFonts w:hint="eastAsia" w:ascii="宋体" w:hAnsi="宋体" w:eastAsia="宋体" w:cs="宋体"/>
                      <w:color w:val="auto"/>
                      <w:sz w:val="18"/>
                      <w:szCs w:val="18"/>
                    </w:rPr>
                    <w:t>针头、缝合针</w:t>
                  </w:r>
                  <w:r>
                    <w:rPr>
                      <w:rFonts w:hint="eastAsia" w:ascii="宋体" w:hAnsi="宋体" w:eastAsia="宋体" w:cs="宋体"/>
                      <w:color w:val="auto"/>
                      <w:sz w:val="18"/>
                      <w:szCs w:val="18"/>
                      <w:lang w:val="en-US" w:eastAsia="zh-CN"/>
                    </w:rPr>
                    <w:t>针灸针、探针、穿刺针、解剖刀、手术刀、手术锯、备皮刀、钢针和导丝等</w:t>
                  </w: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w:t>
                  </w:r>
                  <w:r>
                    <w:rPr>
                      <w:rFonts w:hint="eastAsia" w:ascii="宋体" w:hAnsi="宋体" w:eastAsia="宋体" w:cs="宋体"/>
                      <w:color w:val="auto"/>
                      <w:sz w:val="18"/>
                      <w:szCs w:val="18"/>
                      <w:lang w:val="en-US" w:eastAsia="zh-CN"/>
                    </w:rPr>
                    <w:t>废弃的玻璃类锐器，如盖玻片、</w:t>
                  </w:r>
                  <w:r>
                    <w:rPr>
                      <w:rFonts w:hint="eastAsia" w:ascii="宋体" w:hAnsi="宋体" w:eastAsia="宋体" w:cs="宋体"/>
                      <w:color w:val="auto"/>
                      <w:sz w:val="18"/>
                      <w:szCs w:val="18"/>
                    </w:rPr>
                    <w:t>载玻片、玻璃安瓿等。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w:t>
                  </w:r>
                  <w:r>
                    <w:rPr>
                      <w:rFonts w:hint="eastAsia" w:ascii="宋体" w:hAnsi="宋体" w:eastAsia="宋体" w:cs="宋体"/>
                      <w:color w:val="auto"/>
                      <w:sz w:val="18"/>
                      <w:szCs w:val="18"/>
                      <w:lang w:val="en-US" w:eastAsia="zh-CN"/>
                    </w:rPr>
                    <w:t>废弃的其他材质类锐器</w:t>
                  </w:r>
                  <w:r>
                    <w:rPr>
                      <w:rFonts w:hint="eastAsia" w:ascii="宋体" w:hAnsi="宋体" w:eastAsia="宋体" w:cs="宋体"/>
                      <w:color w:val="auto"/>
                      <w:sz w:val="18"/>
                      <w:szCs w:val="18"/>
                    </w:rPr>
                    <w:t>。</w:t>
                  </w:r>
                </w:p>
              </w:tc>
              <w:tc>
                <w:tcPr>
                  <w:tcW w:w="28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 收集于符合《医疗废物专用包装袋、容器和警示标志标准》（HJ421）的利器盒中；2. 利器盒达到3/4满时，应当封闭严密，按流程运送、贮存。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病理性废物</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诊疗过程中产生的人体废弃物</w:t>
                  </w:r>
                  <w:r>
                    <w:rPr>
                      <w:rFonts w:hint="eastAsia" w:ascii="宋体" w:hAnsi="宋体" w:eastAsia="宋体" w:cs="宋体"/>
                      <w:color w:val="auto"/>
                      <w:sz w:val="18"/>
                      <w:szCs w:val="18"/>
                      <w:lang w:val="en-US" w:eastAsia="zh-CN"/>
                    </w:rPr>
                    <w:t>和医学实验动物尸体</w:t>
                  </w:r>
                  <w:r>
                    <w:rPr>
                      <w:rFonts w:hint="eastAsia" w:ascii="宋体" w:hAnsi="宋体" w:eastAsia="宋体" w:cs="宋体"/>
                      <w:color w:val="auto"/>
                      <w:sz w:val="18"/>
                      <w:szCs w:val="18"/>
                    </w:rPr>
                    <w:t>等</w:t>
                  </w:r>
                </w:p>
              </w:tc>
              <w:tc>
                <w:tcPr>
                  <w:tcW w:w="308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手术及其他</w:t>
                  </w:r>
                  <w:r>
                    <w:rPr>
                      <w:rFonts w:hint="eastAsia" w:ascii="宋体" w:hAnsi="宋体" w:eastAsia="宋体" w:cs="宋体"/>
                      <w:color w:val="auto"/>
                      <w:sz w:val="18"/>
                      <w:szCs w:val="18"/>
                      <w:lang w:val="en-US" w:eastAsia="zh-CN"/>
                    </w:rPr>
                    <w:t>医学服务</w:t>
                  </w:r>
                  <w:r>
                    <w:rPr>
                      <w:rFonts w:hint="eastAsia" w:ascii="宋体" w:hAnsi="宋体" w:eastAsia="宋体" w:cs="宋体"/>
                      <w:color w:val="auto"/>
                      <w:sz w:val="18"/>
                      <w:szCs w:val="18"/>
                    </w:rPr>
                    <w:t>过程中产生的废弃的人体组织、器官等</w:t>
                  </w:r>
                  <w:r>
                    <w:rPr>
                      <w:rFonts w:hint="eastAsia" w:ascii="宋体" w:hAnsi="宋体" w:eastAsia="宋体" w:cs="宋体"/>
                      <w:color w:val="auto"/>
                      <w:sz w:val="18"/>
                      <w:szCs w:val="18"/>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病理切片后废弃的</w:t>
                  </w:r>
                  <w:r>
                    <w:rPr>
                      <w:rFonts w:hint="eastAsia" w:ascii="宋体" w:hAnsi="宋体" w:eastAsia="宋体" w:cs="宋体"/>
                      <w:color w:val="auto"/>
                      <w:sz w:val="18"/>
                      <w:szCs w:val="18"/>
                    </w:rPr>
                    <w:t>人体组织、</w:t>
                  </w:r>
                  <w:r>
                    <w:rPr>
                      <w:rFonts w:hint="eastAsia" w:ascii="宋体" w:hAnsi="宋体" w:eastAsia="宋体" w:cs="宋体"/>
                      <w:color w:val="auto"/>
                      <w:sz w:val="18"/>
                      <w:szCs w:val="18"/>
                      <w:lang w:val="en-US" w:eastAsia="zh-CN"/>
                    </w:rPr>
                    <w:t>病理蜡块；</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废弃的医学实验动物的组织和尸体；</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16周胎龄以下或重量不足500克的胚胎组织等；</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确诊、疑似传染病或携带传染病病原体的产妇的胎盘。</w:t>
                  </w:r>
                </w:p>
              </w:tc>
              <w:tc>
                <w:tcPr>
                  <w:tcW w:w="28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收集于符合《医疗废物专用包装袋、容器和警示标志标准》（HJ421）的医疗废物包装袋中；2. 确诊、疑似传染病或携带传染病病原体的产妇的胎盘应使用双层医疗废弃包装袋盛装；3. 可进行防腐或者低温保存。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5"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药物性废物</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过期、淘汰、变质或者被污染的废弃的药品</w:t>
                  </w:r>
                </w:p>
              </w:tc>
              <w:tc>
                <w:tcPr>
                  <w:tcW w:w="308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1．废弃的一般性药品</w:t>
                  </w:r>
                  <w:r>
                    <w:rPr>
                      <w:rFonts w:hint="eastAsia" w:ascii="宋体" w:hAnsi="宋体" w:eastAsia="宋体" w:cs="宋体"/>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2．废弃的细胞毒性药物和遗传毒性药物，包括</w:t>
                  </w:r>
                  <w:r>
                    <w:rPr>
                      <w:rFonts w:hint="eastAsia" w:ascii="宋体" w:hAnsi="宋体" w:eastAsia="宋体" w:cs="宋体"/>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3．废弃的疫苗</w:t>
                  </w:r>
                  <w:r>
                    <w:rPr>
                      <w:rFonts w:hint="eastAsia" w:ascii="宋体" w:hAnsi="宋体" w:eastAsia="宋体" w:cs="宋体"/>
                      <w:color w:val="auto"/>
                      <w:sz w:val="18"/>
                      <w:szCs w:val="18"/>
                      <w:lang w:val="en-US" w:eastAsia="zh-CN"/>
                    </w:rPr>
                    <w:t>及</w:t>
                  </w:r>
                  <w:r>
                    <w:rPr>
                      <w:rFonts w:hint="eastAsia" w:ascii="宋体" w:hAnsi="宋体" w:eastAsia="宋体" w:cs="宋体"/>
                      <w:color w:val="auto"/>
                      <w:sz w:val="18"/>
                      <w:szCs w:val="18"/>
                    </w:rPr>
                    <w:t>血液制品。</w:t>
                  </w:r>
                </w:p>
              </w:tc>
              <w:tc>
                <w:tcPr>
                  <w:tcW w:w="2876" w:type="dxa"/>
                  <w:tcBorders>
                    <w:top w:val="single" w:color="000000" w:sz="4" w:space="0"/>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1. 少量的药物性废弃物可以并入感染性废物中，但应在标签中注明；2. 批量废弃的药物性废弃物，收集后应交由具有相应资质的医疗废物处置单位或者危险废物处置单位进行处置。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8"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化学性废物</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具有毒性、腐蚀性、易燃</w:t>
                  </w:r>
                  <w:r>
                    <w:rPr>
                      <w:rFonts w:hint="eastAsia" w:ascii="宋体" w:hAnsi="宋体" w:eastAsia="宋体" w:cs="宋体"/>
                      <w:color w:val="auto"/>
                      <w:sz w:val="18"/>
                      <w:szCs w:val="18"/>
                      <w:lang w:val="en-US" w:eastAsia="zh-CN"/>
                    </w:rPr>
                    <w:t>性、</w:t>
                  </w:r>
                  <w:r>
                    <w:rPr>
                      <w:rFonts w:hint="eastAsia" w:ascii="宋体" w:hAnsi="宋体" w:eastAsia="宋体" w:cs="宋体"/>
                      <w:color w:val="auto"/>
                      <w:sz w:val="18"/>
                      <w:szCs w:val="18"/>
                    </w:rPr>
                    <w:t>易爆性</w:t>
                  </w:r>
                  <w:r>
                    <w:rPr>
                      <w:rFonts w:hint="eastAsia" w:ascii="宋体" w:hAnsi="宋体" w:eastAsia="宋体" w:cs="宋体"/>
                      <w:color w:val="auto"/>
                      <w:sz w:val="18"/>
                      <w:szCs w:val="18"/>
                      <w:lang w:val="en-US" w:eastAsia="zh-CN"/>
                    </w:rPr>
                    <w:t>的废弃</w:t>
                  </w:r>
                  <w:r>
                    <w:rPr>
                      <w:rFonts w:hint="eastAsia" w:ascii="宋体" w:hAnsi="宋体" w:eastAsia="宋体" w:cs="宋体"/>
                      <w:color w:val="auto"/>
                      <w:sz w:val="18"/>
                      <w:szCs w:val="18"/>
                    </w:rPr>
                    <w:t>化学物品</w:t>
                  </w:r>
                </w:p>
              </w:tc>
              <w:tc>
                <w:tcPr>
                  <w:tcW w:w="308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列入《国家危险废物名录》中的废弃危险化学品，如甲醛、二甲苯等；非特定行业来源的危险废物，如含汞血压计、含汞体温计，废弃的牙科汞合金材料及其残余物等</w:t>
                  </w:r>
                  <w:r>
                    <w:rPr>
                      <w:rFonts w:hint="eastAsia" w:ascii="宋体" w:hAnsi="宋体" w:eastAsia="宋体" w:cs="宋体"/>
                      <w:color w:val="auto"/>
                      <w:sz w:val="18"/>
                      <w:szCs w:val="18"/>
                    </w:rPr>
                    <w:t>。</w:t>
                  </w:r>
                </w:p>
              </w:tc>
              <w:tc>
                <w:tcPr>
                  <w:tcW w:w="2876" w:type="dxa"/>
                  <w:tcBorders>
                    <w:top w:val="single" w:color="000000" w:sz="4" w:space="0"/>
                    <w:left w:val="single" w:color="auto" w:sz="4" w:space="0"/>
                    <w:right w:val="single" w:color="000000" w:sz="4" w:space="0"/>
                  </w:tcBorders>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收集于容器中，粘贴标签并注明主要成分；2. 收集后应交由具有相应资质的医疗废物处置单位或者危险废物处置单位等进行处置。</w:t>
                  </w:r>
                </w:p>
              </w:tc>
            </w:tr>
          </w:tbl>
          <w:p>
            <w:pPr>
              <w:keepNext w:val="0"/>
              <w:keepLines w:val="0"/>
              <w:pageBreakBefore w:val="0"/>
              <w:widowControl w:val="0"/>
              <w:kinsoku/>
              <w:wordWrap/>
              <w:overflowPunct/>
              <w:topLinePunct w:val="0"/>
              <w:autoSpaceDE/>
              <w:autoSpaceDN/>
              <w:bidi w:val="0"/>
              <w:adjustRightInd/>
              <w:snapToGrid/>
              <w:spacing w:before="110" w:beforeLines="35" w:line="240" w:lineRule="auto"/>
              <w:ind w:firstLine="1680" w:firstLineChars="800"/>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rPr>
              <w:t>表</w:t>
            </w:r>
            <w:r>
              <w:rPr>
                <w:rFonts w:hint="eastAsia" w:ascii="黑体" w:hAnsi="黑体" w:eastAsia="黑体" w:cs="黑体"/>
                <w:color w:val="auto"/>
                <w:sz w:val="21"/>
                <w:szCs w:val="21"/>
                <w:lang w:val="en-US" w:eastAsia="zh-CN"/>
              </w:rPr>
              <w:t>4</w:t>
            </w:r>
            <w:r>
              <w:rPr>
                <w:rFonts w:hint="eastAsia" w:ascii="黑体" w:hAnsi="黑体" w:eastAsia="黑体" w:cs="黑体"/>
                <w:color w:val="auto"/>
                <w:sz w:val="21"/>
                <w:szCs w:val="21"/>
              </w:rPr>
              <w:t>-</w:t>
            </w:r>
            <w:r>
              <w:rPr>
                <w:rFonts w:hint="eastAsia" w:ascii="黑体" w:hAnsi="黑体" w:eastAsia="黑体" w:cs="黑体"/>
                <w:color w:val="auto"/>
                <w:sz w:val="21"/>
                <w:szCs w:val="21"/>
                <w:lang w:val="en-US" w:eastAsia="zh-CN"/>
              </w:rPr>
              <w:t>10</w:t>
            </w:r>
            <w:r>
              <w:rPr>
                <w:rFonts w:hint="eastAsia" w:ascii="黑体" w:hAnsi="黑体" w:eastAsia="黑体" w:cs="黑体"/>
                <w:color w:val="auto"/>
                <w:sz w:val="21"/>
                <w:szCs w:val="21"/>
              </w:rPr>
              <w:t xml:space="preserve"> 医疗废物</w:t>
            </w:r>
            <w:r>
              <w:rPr>
                <w:rFonts w:hint="eastAsia" w:ascii="黑体" w:hAnsi="黑体" w:eastAsia="黑体" w:cs="黑体"/>
                <w:color w:val="auto"/>
                <w:sz w:val="21"/>
                <w:szCs w:val="21"/>
                <w:lang w:val="en-US" w:eastAsia="zh-CN"/>
              </w:rPr>
              <w:t>豁免管理清单</w:t>
            </w:r>
          </w:p>
          <w:tbl>
            <w:tblPr>
              <w:tblStyle w:val="27"/>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197"/>
              <w:gridCol w:w="1063"/>
              <w:gridCol w:w="3666"/>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序号</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名称</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豁免环节</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豁免条件</w:t>
                  </w:r>
                </w:p>
              </w:tc>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豁免内容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密封药瓶、</w:t>
                  </w:r>
                  <w:r>
                    <w:rPr>
                      <w:rFonts w:hint="eastAsia" w:ascii="宋体" w:hAnsi="宋体" w:eastAsia="宋体" w:cs="宋体"/>
                      <w:color w:val="auto"/>
                      <w:sz w:val="18"/>
                      <w:szCs w:val="18"/>
                    </w:rPr>
                    <w:t>安瓿</w:t>
                  </w:r>
                  <w:r>
                    <w:rPr>
                      <w:rFonts w:hint="eastAsia" w:ascii="宋体" w:hAnsi="宋体" w:eastAsia="宋体" w:cs="宋体"/>
                      <w:color w:val="auto"/>
                      <w:sz w:val="18"/>
                      <w:szCs w:val="18"/>
                      <w:lang w:val="en-US" w:eastAsia="zh-CN"/>
                    </w:rPr>
                    <w:t>瓶等玻璃药瓶</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收集</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盛装容器应满足防渗漏、防刺破要求，并有医疗废物标识或者外加一层医疗废物包装袋。标签为损伤性废物，并注明：密封药瓶、</w:t>
                  </w:r>
                  <w:r>
                    <w:rPr>
                      <w:rFonts w:hint="eastAsia" w:ascii="宋体" w:hAnsi="宋体" w:eastAsia="宋体" w:cs="宋体"/>
                      <w:color w:val="auto"/>
                      <w:sz w:val="18"/>
                      <w:szCs w:val="18"/>
                    </w:rPr>
                    <w:t>安瓿</w:t>
                  </w:r>
                  <w:r>
                    <w:rPr>
                      <w:rFonts w:hint="eastAsia" w:ascii="宋体" w:hAnsi="宋体" w:eastAsia="宋体" w:cs="宋体"/>
                      <w:color w:val="auto"/>
                      <w:sz w:val="18"/>
                      <w:szCs w:val="18"/>
                      <w:lang w:val="en-US" w:eastAsia="zh-CN"/>
                    </w:rPr>
                    <w:t>瓶</w:t>
                  </w:r>
                </w:p>
              </w:tc>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可不使用利器盒收集。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导丝</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收集</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盛装容器应满足防渗漏、防刺破要求，并有医疗废物标识或者外加一层医疗废物包装袋。标签为损伤性废物，并注明：导丝</w:t>
                  </w:r>
                </w:p>
              </w:tc>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可不使用利器盒收集。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棉签、棉球、输液贴</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全部环节</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患者自行用于按压止血而未收集于医疗废物容器中棉签、棉球、输液贴。</w:t>
                  </w:r>
                </w:p>
              </w:tc>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全过程不按照医疗废物管理。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感染性废物、损伤性废物以及相关技术可处理的病理性废物</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运输、贮存</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按照相关处理标准规范采用高温蒸汽、微波、化学消毒、高温干热或者其他方式消毒处理后，在满足相关入厂（场）要求的前提下，运输至生活垃圾焚烧厂或生活垃圾填埋场等处理。</w:t>
                  </w:r>
                </w:p>
              </w:tc>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运输、贮存、处置过程中不按照医疗废物管理。</w:t>
                  </w:r>
                </w:p>
              </w:tc>
            </w:tr>
          </w:tbl>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本项目产生的医疗废物种类为感染性、病理性、损伤性</w:t>
            </w:r>
            <w:r>
              <w:rPr>
                <w:rFonts w:hint="eastAsia" w:ascii="宋体" w:hAnsi="宋体" w:cs="宋体"/>
                <w:color w:val="auto"/>
                <w:sz w:val="24"/>
                <w:szCs w:val="24"/>
                <w:lang w:val="en-US" w:eastAsia="zh-CN"/>
              </w:rPr>
              <w:t>、药物性，</w:t>
            </w:r>
            <w:r>
              <w:rPr>
                <w:rFonts w:hint="eastAsia" w:ascii="宋体" w:hAnsi="宋体" w:eastAsia="宋体" w:cs="宋体"/>
                <w:color w:val="auto"/>
                <w:sz w:val="24"/>
                <w:szCs w:val="24"/>
                <w:lang w:val="en-US" w:eastAsia="zh-CN"/>
              </w:rPr>
              <w:t>具体如下：</w:t>
            </w:r>
          </w:p>
          <w:p>
            <w:pPr>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lang w:val="en-US" w:eastAsia="zh-CN"/>
              </w:rPr>
              <w:t>1）</w:t>
            </w:r>
            <w:r>
              <w:rPr>
                <w:rFonts w:hint="eastAsia" w:ascii="宋体" w:hAnsi="宋体" w:eastAsia="宋体" w:cs="宋体"/>
                <w:snapToGrid w:val="0"/>
                <w:color w:val="auto"/>
                <w:kern w:val="0"/>
                <w:sz w:val="24"/>
                <w:szCs w:val="24"/>
              </w:rPr>
              <w:t>住院病房</w:t>
            </w:r>
          </w:p>
          <w:p>
            <w:pPr>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本项目设置2</w:t>
            </w:r>
            <w:r>
              <w:rPr>
                <w:rFonts w:hint="eastAsia" w:ascii="宋体" w:hAnsi="宋体" w:eastAsia="宋体" w:cs="宋体"/>
                <w:snapToGrid w:val="0"/>
                <w:color w:val="auto"/>
                <w:kern w:val="0"/>
                <w:sz w:val="24"/>
                <w:szCs w:val="24"/>
                <w:lang w:val="en-US" w:eastAsia="zh-CN"/>
              </w:rPr>
              <w:t>2</w:t>
            </w:r>
            <w:r>
              <w:rPr>
                <w:rFonts w:hint="eastAsia" w:ascii="宋体" w:hAnsi="宋体" w:eastAsia="宋体" w:cs="宋体"/>
                <w:snapToGrid w:val="0"/>
                <w:color w:val="auto"/>
                <w:kern w:val="0"/>
                <w:sz w:val="24"/>
                <w:szCs w:val="24"/>
              </w:rPr>
              <w:t>张病床，日常主要是进行住院、输液、观察等治疗，产生的医疗固废主要为带有病人血液、体液的感染性医废和输液产生的输液管损伤性医废。根据《污染防治技术》（第16卷第3期）中“医院固体废弃物排放系数和产生量的测算”，病床≥20床，医废产生系数为170-190kg/床·年，本环评取180kg/床·年，医废产生量为3.</w:t>
            </w:r>
            <w:r>
              <w:rPr>
                <w:rFonts w:hint="eastAsia" w:ascii="宋体" w:hAnsi="宋体" w:eastAsia="宋体" w:cs="宋体"/>
                <w:snapToGrid w:val="0"/>
                <w:color w:val="auto"/>
                <w:kern w:val="0"/>
                <w:sz w:val="24"/>
                <w:szCs w:val="24"/>
                <w:lang w:val="en-US" w:eastAsia="zh-CN"/>
              </w:rPr>
              <w:t>96</w:t>
            </w:r>
            <w:r>
              <w:rPr>
                <w:rFonts w:hint="eastAsia" w:ascii="宋体" w:hAnsi="宋体" w:eastAsia="宋体" w:cs="宋体"/>
                <w:snapToGrid w:val="0"/>
                <w:color w:val="auto"/>
                <w:kern w:val="0"/>
                <w:sz w:val="24"/>
                <w:szCs w:val="24"/>
              </w:rPr>
              <w:t>t/a。</w:t>
            </w:r>
          </w:p>
          <w:p>
            <w:pPr>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收集方式：项目在住院病房内设医疗废物收集桶，每层楼的楼梯间处设置1个约250L的医疗废物收集桶，病人输液、打针产生的医废由护士带走放置到配液室医疗废物收集桶中，分类收集包装，由专人清运至项目医</w:t>
            </w:r>
            <w:r>
              <w:rPr>
                <w:rFonts w:hint="eastAsia" w:ascii="宋体" w:hAnsi="宋体" w:cs="宋体"/>
                <w:snapToGrid w:val="0"/>
                <w:color w:val="auto"/>
                <w:kern w:val="0"/>
                <w:sz w:val="24"/>
                <w:szCs w:val="24"/>
                <w:lang w:val="en-US" w:eastAsia="zh-CN"/>
              </w:rPr>
              <w:t>疗废物</w:t>
            </w:r>
            <w:r>
              <w:rPr>
                <w:rFonts w:hint="eastAsia" w:ascii="宋体" w:hAnsi="宋体" w:eastAsia="宋体" w:cs="宋体"/>
                <w:snapToGrid w:val="0"/>
                <w:color w:val="auto"/>
                <w:kern w:val="0"/>
                <w:sz w:val="24"/>
                <w:szCs w:val="24"/>
              </w:rPr>
              <w:t>暂存间存放。</w:t>
            </w:r>
          </w:p>
          <w:p>
            <w:pPr>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处置措施：委托有资质的单位进行处理。</w:t>
            </w:r>
          </w:p>
          <w:p>
            <w:pPr>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lang w:val="en-US" w:eastAsia="zh-CN"/>
              </w:rPr>
              <w:t>2）</w:t>
            </w:r>
            <w:r>
              <w:rPr>
                <w:rFonts w:hint="eastAsia" w:ascii="宋体" w:hAnsi="宋体" w:eastAsia="宋体" w:cs="宋体"/>
                <w:snapToGrid w:val="0"/>
                <w:color w:val="auto"/>
                <w:kern w:val="0"/>
                <w:sz w:val="24"/>
                <w:szCs w:val="24"/>
              </w:rPr>
              <w:t>门诊医疗固废</w:t>
            </w:r>
          </w:p>
          <w:p>
            <w:pPr>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根据</w:t>
            </w:r>
            <w:r>
              <w:rPr>
                <w:rFonts w:hint="eastAsia" w:ascii="宋体" w:hAnsi="宋体" w:eastAsia="宋体" w:cs="宋体"/>
                <w:snapToGrid w:val="0"/>
                <w:color w:val="auto"/>
                <w:kern w:val="0"/>
                <w:sz w:val="24"/>
                <w:szCs w:val="24"/>
                <w:lang w:val="en-US" w:eastAsia="zh-CN"/>
              </w:rPr>
              <w:t>卫生院</w:t>
            </w:r>
            <w:r>
              <w:rPr>
                <w:rFonts w:hint="eastAsia" w:ascii="宋体" w:hAnsi="宋体" w:eastAsia="宋体" w:cs="宋体"/>
                <w:snapToGrid w:val="0"/>
                <w:color w:val="auto"/>
                <w:kern w:val="0"/>
                <w:sz w:val="24"/>
                <w:szCs w:val="24"/>
              </w:rPr>
              <w:t>以往实际门诊、预防接种医疗固废产生情况</w:t>
            </w:r>
            <w:r>
              <w:rPr>
                <w:rFonts w:hint="eastAsia" w:ascii="宋体" w:hAnsi="宋体" w:eastAsia="宋体" w:cs="宋体"/>
                <w:snapToGrid w:val="0"/>
                <w:color w:val="auto"/>
                <w:kern w:val="0"/>
                <w:sz w:val="24"/>
                <w:szCs w:val="24"/>
                <w:lang w:val="en-US" w:eastAsia="zh-CN"/>
              </w:rPr>
              <w:t>统计</w:t>
            </w:r>
            <w:r>
              <w:rPr>
                <w:rFonts w:hint="eastAsia" w:ascii="宋体" w:hAnsi="宋体" w:eastAsia="宋体" w:cs="宋体"/>
                <w:snapToGrid w:val="0"/>
                <w:color w:val="auto"/>
                <w:kern w:val="0"/>
                <w:sz w:val="24"/>
                <w:szCs w:val="24"/>
              </w:rPr>
              <w:t>，门诊医疗固废产生量大约</w:t>
            </w:r>
            <w:r>
              <w:rPr>
                <w:rFonts w:hint="eastAsia" w:ascii="宋体" w:hAnsi="宋体" w:cs="宋体"/>
                <w:snapToGrid w:val="0"/>
                <w:color w:val="auto"/>
                <w:kern w:val="0"/>
                <w:sz w:val="24"/>
                <w:szCs w:val="24"/>
                <w:lang w:val="en-US" w:eastAsia="zh-CN"/>
              </w:rPr>
              <w:t>3</w:t>
            </w:r>
            <w:r>
              <w:rPr>
                <w:rFonts w:hint="eastAsia" w:ascii="宋体" w:hAnsi="宋体" w:eastAsia="宋体" w:cs="宋体"/>
                <w:snapToGrid w:val="0"/>
                <w:color w:val="auto"/>
                <w:kern w:val="0"/>
                <w:sz w:val="24"/>
                <w:szCs w:val="24"/>
              </w:rPr>
              <w:t>kg/d，</w:t>
            </w:r>
            <w:r>
              <w:rPr>
                <w:rFonts w:hint="eastAsia" w:ascii="宋体" w:hAnsi="宋体" w:eastAsia="宋体" w:cs="宋体"/>
                <w:snapToGrid w:val="0"/>
                <w:color w:val="auto"/>
                <w:kern w:val="0"/>
                <w:sz w:val="24"/>
                <w:szCs w:val="24"/>
                <w:lang w:val="en-US" w:eastAsia="zh-CN"/>
              </w:rPr>
              <w:t>1.095</w:t>
            </w:r>
            <w:r>
              <w:rPr>
                <w:rFonts w:hint="eastAsia" w:ascii="宋体" w:hAnsi="宋体" w:eastAsia="宋体" w:cs="宋体"/>
                <w:snapToGrid w:val="0"/>
                <w:color w:val="auto"/>
                <w:kern w:val="0"/>
                <w:sz w:val="24"/>
                <w:szCs w:val="24"/>
              </w:rPr>
              <w:t>t/a，分类收集包装，由专人清运至项目医</w:t>
            </w:r>
            <w:r>
              <w:rPr>
                <w:rFonts w:hint="eastAsia" w:ascii="宋体" w:hAnsi="宋体" w:cs="宋体"/>
                <w:snapToGrid w:val="0"/>
                <w:color w:val="auto"/>
                <w:kern w:val="0"/>
                <w:sz w:val="24"/>
                <w:szCs w:val="24"/>
                <w:lang w:val="en-US" w:eastAsia="zh-CN"/>
              </w:rPr>
              <w:t>疗</w:t>
            </w:r>
            <w:r>
              <w:rPr>
                <w:rFonts w:hint="eastAsia" w:ascii="宋体" w:hAnsi="宋体" w:eastAsia="宋体" w:cs="宋体"/>
                <w:snapToGrid w:val="0"/>
                <w:color w:val="auto"/>
                <w:kern w:val="0"/>
                <w:sz w:val="24"/>
                <w:szCs w:val="24"/>
              </w:rPr>
              <w:t>废</w:t>
            </w:r>
            <w:r>
              <w:rPr>
                <w:rFonts w:hint="eastAsia" w:ascii="宋体" w:hAnsi="宋体" w:cs="宋体"/>
                <w:snapToGrid w:val="0"/>
                <w:color w:val="auto"/>
                <w:kern w:val="0"/>
                <w:sz w:val="24"/>
                <w:szCs w:val="24"/>
                <w:lang w:val="en-US" w:eastAsia="zh-CN"/>
              </w:rPr>
              <w:t>物</w:t>
            </w:r>
            <w:r>
              <w:rPr>
                <w:rFonts w:hint="eastAsia" w:ascii="宋体" w:hAnsi="宋体" w:eastAsia="宋体" w:cs="宋体"/>
                <w:snapToGrid w:val="0"/>
                <w:color w:val="auto"/>
                <w:kern w:val="0"/>
                <w:sz w:val="24"/>
                <w:szCs w:val="24"/>
              </w:rPr>
              <w:t>暂存间存放。</w:t>
            </w:r>
          </w:p>
          <w:p>
            <w:pPr>
              <w:adjustRightInd w:val="0"/>
              <w:snapToGrid w:val="0"/>
              <w:spacing w:line="360" w:lineRule="auto"/>
              <w:ind w:firstLine="480" w:firstLineChars="200"/>
              <w:rPr>
                <w:rFonts w:hint="eastAsia" w:ascii="宋体" w:hAnsi="宋体" w:eastAsia="宋体" w:cs="宋体"/>
                <w:snapToGrid w:val="0"/>
                <w:color w:val="auto"/>
                <w:kern w:val="0"/>
                <w:sz w:val="24"/>
                <w:szCs w:val="24"/>
                <w:lang w:eastAsia="zh-CN"/>
              </w:rPr>
            </w:pPr>
            <w:r>
              <w:rPr>
                <w:rFonts w:hint="eastAsia" w:ascii="宋体" w:hAnsi="宋体" w:eastAsia="宋体" w:cs="宋体"/>
                <w:snapToGrid w:val="0"/>
                <w:color w:val="auto"/>
                <w:kern w:val="0"/>
                <w:sz w:val="24"/>
                <w:szCs w:val="24"/>
                <w:lang w:val="en-US" w:eastAsia="zh-CN"/>
              </w:rPr>
              <w:t>3）</w:t>
            </w:r>
            <w:r>
              <w:rPr>
                <w:rFonts w:hint="eastAsia" w:ascii="宋体" w:hAnsi="宋体" w:eastAsia="宋体" w:cs="宋体"/>
                <w:snapToGrid w:val="0"/>
                <w:color w:val="auto"/>
                <w:kern w:val="0"/>
                <w:sz w:val="24"/>
                <w:szCs w:val="24"/>
              </w:rPr>
              <w:t>手术室</w:t>
            </w:r>
            <w:r>
              <w:rPr>
                <w:rFonts w:hint="eastAsia" w:ascii="宋体" w:hAnsi="宋体" w:cs="宋体"/>
                <w:snapToGrid w:val="0"/>
                <w:color w:val="auto"/>
                <w:kern w:val="0"/>
                <w:sz w:val="24"/>
                <w:szCs w:val="24"/>
                <w:lang w:eastAsia="zh-CN"/>
              </w:rPr>
              <w:t>（</w:t>
            </w:r>
            <w:r>
              <w:rPr>
                <w:rFonts w:hint="eastAsia" w:ascii="宋体" w:hAnsi="宋体" w:cs="宋体"/>
                <w:snapToGrid w:val="0"/>
                <w:color w:val="auto"/>
                <w:kern w:val="0"/>
                <w:sz w:val="24"/>
                <w:szCs w:val="24"/>
                <w:lang w:val="en-US" w:eastAsia="zh-CN"/>
              </w:rPr>
              <w:t>本卫生院计划后期开展手术业务，环评阶段尚未产生手术医疗废物</w:t>
            </w:r>
            <w:r>
              <w:rPr>
                <w:rFonts w:hint="eastAsia" w:ascii="宋体" w:hAnsi="宋体" w:cs="宋体"/>
                <w:snapToGrid w:val="0"/>
                <w:color w:val="auto"/>
                <w:kern w:val="0"/>
                <w:sz w:val="24"/>
                <w:szCs w:val="24"/>
                <w:lang w:eastAsia="zh-CN"/>
              </w:rPr>
              <w:t>）</w:t>
            </w:r>
          </w:p>
          <w:p>
            <w:pPr>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cs="宋体"/>
                <w:color w:val="auto"/>
                <w:kern w:val="0"/>
                <w:sz w:val="24"/>
                <w:szCs w:val="24"/>
                <w:lang w:val="en-US" w:eastAsia="zh-CN" w:bidi="ar"/>
              </w:rPr>
              <w:t>项目计划开展手术类型主要为节育、人流、痔疮切除等。</w:t>
            </w:r>
            <w:r>
              <w:rPr>
                <w:rFonts w:hint="eastAsia" w:ascii="宋体" w:hAnsi="宋体" w:eastAsia="宋体" w:cs="宋体"/>
                <w:snapToGrid w:val="0"/>
                <w:color w:val="auto"/>
                <w:kern w:val="0"/>
                <w:sz w:val="24"/>
                <w:szCs w:val="24"/>
              </w:rPr>
              <w:t>手术室产生的医疗废物主要为带有病人血液等感染性医废，医用针头、手术刀等具有损伤性的医废，以及人体组织、器官等病理性废物</w:t>
            </w:r>
            <w:r>
              <w:rPr>
                <w:rFonts w:hint="eastAsia" w:ascii="宋体" w:hAnsi="宋体" w:cs="宋体"/>
                <w:snapToGrid w:val="0"/>
                <w:color w:val="auto"/>
                <w:kern w:val="0"/>
                <w:sz w:val="24"/>
                <w:szCs w:val="24"/>
                <w:lang w:eastAsia="zh-CN"/>
              </w:rPr>
              <w:t>。</w:t>
            </w:r>
            <w:r>
              <w:rPr>
                <w:rFonts w:hint="eastAsia" w:ascii="宋体" w:hAnsi="宋体" w:eastAsia="宋体" w:cs="宋体"/>
                <w:snapToGrid w:val="0"/>
                <w:color w:val="auto"/>
                <w:kern w:val="0"/>
                <w:sz w:val="24"/>
                <w:szCs w:val="24"/>
              </w:rPr>
              <w:t>根据业主资料，手术室医废产生情况按10kg/次计，平均每周约有1个手术，则手术室医废产生量为1.43kg/d，0.52t/a。</w:t>
            </w:r>
          </w:p>
          <w:p>
            <w:pPr>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收集方式：手术室内均根据产生的医废种类分别设置感染性废物收集设施（分为液态收集设施和固态收集设施）、损伤性废物收集设施、病理性废物收集设施；产生的医废分类收集后损伤性废物运至医</w:t>
            </w:r>
            <w:r>
              <w:rPr>
                <w:rFonts w:hint="eastAsia" w:ascii="宋体" w:hAnsi="宋体" w:cs="宋体"/>
                <w:snapToGrid w:val="0"/>
                <w:color w:val="auto"/>
                <w:kern w:val="0"/>
                <w:sz w:val="24"/>
                <w:szCs w:val="24"/>
                <w:lang w:val="en-US" w:eastAsia="zh-CN"/>
              </w:rPr>
              <w:t>疗</w:t>
            </w:r>
            <w:r>
              <w:rPr>
                <w:rFonts w:hint="eastAsia" w:ascii="宋体" w:hAnsi="宋体" w:eastAsia="宋体" w:cs="宋体"/>
                <w:snapToGrid w:val="0"/>
                <w:color w:val="auto"/>
                <w:kern w:val="0"/>
                <w:sz w:val="24"/>
                <w:szCs w:val="24"/>
              </w:rPr>
              <w:t>废</w:t>
            </w:r>
            <w:r>
              <w:rPr>
                <w:rFonts w:hint="eastAsia" w:ascii="宋体" w:hAnsi="宋体" w:cs="宋体"/>
                <w:snapToGrid w:val="0"/>
                <w:color w:val="auto"/>
                <w:kern w:val="0"/>
                <w:sz w:val="24"/>
                <w:szCs w:val="24"/>
                <w:lang w:val="en-US" w:eastAsia="zh-CN"/>
              </w:rPr>
              <w:t>物</w:t>
            </w:r>
            <w:r>
              <w:rPr>
                <w:rFonts w:hint="eastAsia" w:ascii="宋体" w:hAnsi="宋体" w:eastAsia="宋体" w:cs="宋体"/>
                <w:snapToGrid w:val="0"/>
                <w:color w:val="auto"/>
                <w:kern w:val="0"/>
                <w:sz w:val="24"/>
                <w:szCs w:val="24"/>
              </w:rPr>
              <w:t>暂存间放置，病理性废物和感染性废物均运至污物打包间，其中病理性医废和固态感染性医废使用专用包装袋打包密封，液态（如血液）感染性医废放置入专用的容器内，运至项目医</w:t>
            </w:r>
            <w:r>
              <w:rPr>
                <w:rFonts w:hint="eastAsia" w:ascii="宋体" w:hAnsi="宋体" w:cs="宋体"/>
                <w:snapToGrid w:val="0"/>
                <w:color w:val="auto"/>
                <w:kern w:val="0"/>
                <w:sz w:val="24"/>
                <w:szCs w:val="24"/>
                <w:lang w:val="en-US" w:eastAsia="zh-CN"/>
              </w:rPr>
              <w:t>疗</w:t>
            </w:r>
            <w:r>
              <w:rPr>
                <w:rFonts w:hint="eastAsia" w:ascii="宋体" w:hAnsi="宋体" w:eastAsia="宋体" w:cs="宋体"/>
                <w:snapToGrid w:val="0"/>
                <w:color w:val="auto"/>
                <w:kern w:val="0"/>
                <w:sz w:val="24"/>
                <w:szCs w:val="24"/>
              </w:rPr>
              <w:t>废</w:t>
            </w:r>
            <w:r>
              <w:rPr>
                <w:rFonts w:hint="eastAsia" w:ascii="宋体" w:hAnsi="宋体" w:cs="宋体"/>
                <w:snapToGrid w:val="0"/>
                <w:color w:val="auto"/>
                <w:kern w:val="0"/>
                <w:sz w:val="24"/>
                <w:szCs w:val="24"/>
                <w:lang w:val="en-US" w:eastAsia="zh-CN"/>
              </w:rPr>
              <w:t>物</w:t>
            </w:r>
            <w:r>
              <w:rPr>
                <w:rFonts w:hint="eastAsia" w:ascii="宋体" w:hAnsi="宋体" w:eastAsia="宋体" w:cs="宋体"/>
                <w:snapToGrid w:val="0"/>
                <w:color w:val="auto"/>
                <w:kern w:val="0"/>
                <w:sz w:val="24"/>
                <w:szCs w:val="24"/>
              </w:rPr>
              <w:t>暂存间。</w:t>
            </w:r>
          </w:p>
          <w:p>
            <w:pPr>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处置措施：委托有资质的单位进行处理。</w:t>
            </w:r>
          </w:p>
          <w:p>
            <w:pPr>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lang w:val="en-US" w:eastAsia="zh-CN"/>
              </w:rPr>
              <w:t>4）</w:t>
            </w:r>
            <w:r>
              <w:rPr>
                <w:rFonts w:hint="eastAsia" w:ascii="宋体" w:hAnsi="宋体" w:eastAsia="宋体" w:cs="宋体"/>
                <w:snapToGrid w:val="0"/>
                <w:color w:val="auto"/>
                <w:kern w:val="0"/>
                <w:sz w:val="24"/>
                <w:szCs w:val="24"/>
              </w:rPr>
              <w:t>检验废液</w:t>
            </w:r>
          </w:p>
          <w:p>
            <w:pPr>
              <w:pStyle w:val="3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医学检验科检验过程中产生的废液，</w:t>
            </w:r>
            <w:r>
              <w:rPr>
                <w:rFonts w:hint="eastAsia" w:ascii="宋体" w:hAnsi="宋体" w:cs="宋体"/>
                <w:snapToGrid w:val="0"/>
                <w:color w:val="auto"/>
                <w:kern w:val="0"/>
                <w:sz w:val="24"/>
                <w:lang w:val="en-US" w:eastAsia="zh-CN"/>
              </w:rPr>
              <w:t>如废弃血样、血清等。</w:t>
            </w:r>
            <w:r>
              <w:rPr>
                <w:rFonts w:hint="eastAsia" w:ascii="宋体" w:hAnsi="宋体" w:eastAsia="宋体" w:cs="宋体"/>
                <w:snapToGrid w:val="0"/>
                <w:color w:val="auto"/>
                <w:kern w:val="0"/>
                <w:sz w:val="24"/>
                <w:szCs w:val="24"/>
              </w:rPr>
              <w:t>物理性状为液态，环境危险特性为</w:t>
            </w:r>
            <w:r>
              <w:rPr>
                <w:rFonts w:hint="eastAsia" w:ascii="宋体" w:hAnsi="宋体" w:cs="宋体"/>
                <w:snapToGrid w:val="0"/>
                <w:color w:val="auto"/>
                <w:kern w:val="0"/>
                <w:sz w:val="24"/>
                <w:szCs w:val="24"/>
                <w:lang w:val="en-US" w:eastAsia="zh-CN"/>
              </w:rPr>
              <w:t>感染</w:t>
            </w:r>
            <w:r>
              <w:rPr>
                <w:rFonts w:hint="eastAsia" w:ascii="宋体" w:hAnsi="宋体" w:eastAsia="宋体" w:cs="宋体"/>
                <w:snapToGrid w:val="0"/>
                <w:color w:val="auto"/>
                <w:kern w:val="0"/>
                <w:sz w:val="24"/>
                <w:szCs w:val="24"/>
              </w:rPr>
              <w:t>性，根据</w:t>
            </w:r>
            <w:r>
              <w:rPr>
                <w:rFonts w:hint="eastAsia" w:ascii="宋体" w:hAnsi="宋体" w:eastAsia="宋体" w:cs="宋体"/>
                <w:snapToGrid w:val="0"/>
                <w:color w:val="auto"/>
                <w:kern w:val="0"/>
                <w:sz w:val="24"/>
                <w:szCs w:val="24"/>
                <w:lang w:val="en-US" w:eastAsia="zh-CN"/>
              </w:rPr>
              <w:t>业主提供资料，</w:t>
            </w:r>
            <w:r>
              <w:rPr>
                <w:rFonts w:hint="eastAsia" w:ascii="宋体" w:hAnsi="宋体" w:eastAsia="宋体" w:cs="宋体"/>
                <w:snapToGrid w:val="0"/>
                <w:color w:val="auto"/>
                <w:kern w:val="0"/>
                <w:sz w:val="24"/>
                <w:szCs w:val="24"/>
              </w:rPr>
              <w:t>废液产生量约为</w:t>
            </w:r>
            <w:r>
              <w:rPr>
                <w:rFonts w:hint="eastAsia" w:ascii="宋体" w:hAnsi="宋体" w:eastAsia="宋体" w:cs="宋体"/>
                <w:snapToGrid w:val="0"/>
                <w:color w:val="auto"/>
                <w:kern w:val="0"/>
                <w:sz w:val="24"/>
                <w:szCs w:val="24"/>
                <w:lang w:val="en-US" w:eastAsia="zh-CN"/>
              </w:rPr>
              <w:t>1</w:t>
            </w:r>
            <w:r>
              <w:rPr>
                <w:rFonts w:hint="eastAsia" w:ascii="宋体" w:hAnsi="宋体" w:eastAsia="宋体" w:cs="宋体"/>
                <w:snapToGrid w:val="0"/>
                <w:color w:val="auto"/>
                <w:kern w:val="0"/>
                <w:sz w:val="24"/>
                <w:szCs w:val="24"/>
              </w:rPr>
              <w:t>kg/d、</w:t>
            </w:r>
            <w:r>
              <w:rPr>
                <w:rFonts w:hint="eastAsia" w:ascii="宋体" w:hAnsi="宋体" w:eastAsia="宋体" w:cs="宋体"/>
                <w:snapToGrid w:val="0"/>
                <w:color w:val="auto"/>
                <w:kern w:val="0"/>
                <w:sz w:val="24"/>
                <w:szCs w:val="24"/>
                <w:lang w:val="en-US" w:eastAsia="zh-CN"/>
              </w:rPr>
              <w:t>0.365</w:t>
            </w:r>
            <w:r>
              <w:rPr>
                <w:rFonts w:hint="eastAsia" w:ascii="宋体" w:hAnsi="宋体" w:eastAsia="宋体" w:cs="宋体"/>
                <w:snapToGrid w:val="0"/>
                <w:color w:val="auto"/>
                <w:kern w:val="0"/>
                <w:sz w:val="24"/>
                <w:szCs w:val="24"/>
              </w:rPr>
              <w:t>t/a，属于危险废物</w:t>
            </w:r>
            <w:r>
              <w:rPr>
                <w:rFonts w:hint="eastAsia" w:ascii="宋体" w:hAnsi="宋体" w:cs="宋体"/>
                <w:snapToGrid w:val="0"/>
                <w:color w:val="auto"/>
                <w:kern w:val="0"/>
                <w:sz w:val="24"/>
                <w:szCs w:val="24"/>
                <w:lang w:eastAsia="zh-CN"/>
              </w:rPr>
              <w:t>，</w:t>
            </w:r>
            <w:r>
              <w:rPr>
                <w:rFonts w:hint="eastAsia" w:ascii="宋体" w:hAnsi="宋体" w:cs="宋体"/>
                <w:snapToGrid w:val="0"/>
                <w:color w:val="auto"/>
                <w:kern w:val="0"/>
                <w:sz w:val="24"/>
                <w:szCs w:val="24"/>
                <w:lang w:val="en-US" w:eastAsia="zh-CN"/>
              </w:rPr>
              <w:t>危废代码</w:t>
            </w:r>
            <w:r>
              <w:rPr>
                <w:rFonts w:hint="eastAsia" w:ascii="宋体" w:hAnsi="宋体" w:cs="宋体"/>
                <w:snapToGrid w:val="0"/>
                <w:color w:val="auto"/>
                <w:kern w:val="0"/>
                <w:sz w:val="24"/>
                <w:szCs w:val="24"/>
                <w:lang w:eastAsia="zh-CN"/>
              </w:rPr>
              <w:t>HW01</w:t>
            </w:r>
            <w:r>
              <w:rPr>
                <w:rFonts w:hint="eastAsia" w:ascii="宋体" w:hAnsi="宋体" w:cs="宋体"/>
                <w:snapToGrid w:val="0"/>
                <w:color w:val="auto"/>
                <w:kern w:val="0"/>
                <w:sz w:val="24"/>
                <w:szCs w:val="24"/>
                <w:lang w:val="en-US" w:eastAsia="zh-CN"/>
              </w:rPr>
              <w:t xml:space="preserve"> </w:t>
            </w:r>
            <w:r>
              <w:rPr>
                <w:rFonts w:hint="eastAsia" w:ascii="宋体" w:hAnsi="宋体" w:cs="宋体"/>
                <w:snapToGrid w:val="0"/>
                <w:color w:val="auto"/>
                <w:kern w:val="0"/>
                <w:sz w:val="24"/>
                <w:szCs w:val="24"/>
                <w:lang w:eastAsia="zh-CN"/>
              </w:rPr>
              <w:t>841-001-01</w:t>
            </w:r>
            <w:r>
              <w:rPr>
                <w:rFonts w:hint="eastAsia" w:ascii="宋体" w:hAnsi="宋体" w:eastAsia="宋体" w:cs="宋体"/>
                <w:snapToGrid w:val="0"/>
                <w:color w:val="auto"/>
                <w:kern w:val="0"/>
                <w:sz w:val="24"/>
                <w:szCs w:val="24"/>
              </w:rPr>
              <w:t>。</w:t>
            </w:r>
            <w:r>
              <w:rPr>
                <w:rFonts w:hint="eastAsia" w:ascii="宋体" w:hAnsi="宋体" w:eastAsia="宋体" w:cs="宋体"/>
                <w:snapToGrid w:val="0"/>
                <w:color w:val="auto"/>
                <w:kern w:val="0"/>
                <w:sz w:val="24"/>
                <w:szCs w:val="24"/>
                <w:lang w:val="en-US" w:eastAsia="zh-CN"/>
              </w:rPr>
              <w:t>检验室产生的废液先通过蒸汽消毒机进行高温蒸汽消毒，再</w:t>
            </w:r>
            <w:r>
              <w:rPr>
                <w:rFonts w:hint="eastAsia" w:ascii="宋体" w:hAnsi="宋体" w:eastAsia="宋体" w:cs="宋体"/>
                <w:snapToGrid w:val="0"/>
                <w:color w:val="auto"/>
                <w:kern w:val="0"/>
                <w:sz w:val="24"/>
                <w:szCs w:val="24"/>
              </w:rPr>
              <w:t>通过专用容器分类收集，贴上危险废物的标签，于项目所设置的医</w:t>
            </w:r>
            <w:r>
              <w:rPr>
                <w:rFonts w:hint="eastAsia" w:ascii="宋体" w:hAnsi="宋体" w:cs="宋体"/>
                <w:snapToGrid w:val="0"/>
                <w:color w:val="auto"/>
                <w:kern w:val="0"/>
                <w:sz w:val="24"/>
                <w:szCs w:val="24"/>
                <w:lang w:val="en-US" w:eastAsia="zh-CN"/>
              </w:rPr>
              <w:t>疗</w:t>
            </w:r>
            <w:r>
              <w:rPr>
                <w:rFonts w:hint="eastAsia" w:ascii="宋体" w:hAnsi="宋体" w:eastAsia="宋体" w:cs="宋体"/>
                <w:snapToGrid w:val="0"/>
                <w:color w:val="auto"/>
                <w:kern w:val="0"/>
                <w:sz w:val="24"/>
                <w:szCs w:val="24"/>
              </w:rPr>
              <w:t>废</w:t>
            </w:r>
            <w:r>
              <w:rPr>
                <w:rFonts w:hint="eastAsia" w:ascii="宋体" w:hAnsi="宋体" w:cs="宋体"/>
                <w:snapToGrid w:val="0"/>
                <w:color w:val="auto"/>
                <w:kern w:val="0"/>
                <w:sz w:val="24"/>
                <w:szCs w:val="24"/>
                <w:lang w:val="en-US" w:eastAsia="zh-CN"/>
              </w:rPr>
              <w:t>物</w:t>
            </w:r>
            <w:r>
              <w:rPr>
                <w:rFonts w:hint="eastAsia" w:ascii="宋体" w:hAnsi="宋体" w:eastAsia="宋体" w:cs="宋体"/>
                <w:snapToGrid w:val="0"/>
                <w:color w:val="auto"/>
                <w:kern w:val="0"/>
                <w:sz w:val="24"/>
                <w:szCs w:val="24"/>
              </w:rPr>
              <w:t>暂存间内分类存放，委托</w:t>
            </w:r>
            <w:r>
              <w:rPr>
                <w:rFonts w:hint="eastAsia" w:ascii="宋体" w:hAnsi="宋体" w:eastAsia="宋体" w:cs="宋体"/>
                <w:snapToGrid w:val="0"/>
                <w:color w:val="auto"/>
                <w:kern w:val="0"/>
                <w:sz w:val="24"/>
                <w:szCs w:val="24"/>
                <w:lang w:val="en-US"/>
              </w:rPr>
              <w:t>有资质的单位进行处理</w:t>
            </w:r>
            <w:r>
              <w:rPr>
                <w:rFonts w:hint="eastAsia" w:ascii="宋体" w:hAnsi="宋体" w:eastAsia="宋体" w:cs="宋体"/>
                <w:snapToGrid w:val="0"/>
                <w:color w:val="auto"/>
                <w:kern w:val="0"/>
                <w:sz w:val="24"/>
                <w:szCs w:val="24"/>
              </w:rPr>
              <w:t>。</w:t>
            </w:r>
          </w:p>
          <w:p>
            <w:pPr>
              <w:spacing w:line="360" w:lineRule="auto"/>
              <w:ind w:left="420" w:leftChars="20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5）药房</w:t>
            </w:r>
          </w:p>
          <w:p>
            <w:pPr>
              <w:pStyle w:val="30"/>
              <w:rPr>
                <w:rFonts w:hint="eastAsia" w:ascii="宋体" w:hAnsi="宋体" w:eastAsia="宋体" w:cs="宋体"/>
                <w:snapToGrid w:val="0"/>
                <w:color w:val="auto"/>
                <w:kern w:val="0"/>
                <w:sz w:val="24"/>
                <w:szCs w:val="24"/>
              </w:rPr>
            </w:pPr>
            <w:r>
              <w:rPr>
                <w:rFonts w:hint="eastAsia" w:ascii="宋体" w:hAnsi="宋体" w:cs="宋体"/>
                <w:color w:val="auto"/>
                <w:sz w:val="24"/>
                <w:szCs w:val="24"/>
                <w:lang w:val="en-US" w:eastAsia="zh-CN"/>
              </w:rPr>
              <w:t>药房产生的过期药品、疫苗等，产生量约1kg/a，为药物性危险废物，</w:t>
            </w:r>
            <w:r>
              <w:rPr>
                <w:rFonts w:hint="eastAsia" w:ascii="宋体" w:hAnsi="宋体" w:cs="宋体"/>
                <w:snapToGrid w:val="0"/>
                <w:color w:val="auto"/>
                <w:kern w:val="0"/>
                <w:sz w:val="24"/>
                <w:szCs w:val="24"/>
                <w:lang w:val="en-US" w:eastAsia="zh-CN"/>
              </w:rPr>
              <w:t>危废代码HW01841-005-01，</w:t>
            </w:r>
            <w:r>
              <w:rPr>
                <w:rFonts w:hint="eastAsia" w:ascii="宋体" w:hAnsi="宋体" w:eastAsia="宋体" w:cs="宋体"/>
                <w:snapToGrid w:val="0"/>
                <w:color w:val="auto"/>
                <w:kern w:val="0"/>
                <w:sz w:val="24"/>
                <w:szCs w:val="24"/>
              </w:rPr>
              <w:t>于项目所设置的医</w:t>
            </w:r>
            <w:r>
              <w:rPr>
                <w:rFonts w:hint="eastAsia" w:ascii="宋体" w:hAnsi="宋体" w:cs="宋体"/>
                <w:snapToGrid w:val="0"/>
                <w:color w:val="auto"/>
                <w:kern w:val="0"/>
                <w:sz w:val="24"/>
                <w:szCs w:val="24"/>
                <w:lang w:val="en-US" w:eastAsia="zh-CN"/>
              </w:rPr>
              <w:t>疗</w:t>
            </w:r>
            <w:r>
              <w:rPr>
                <w:rFonts w:hint="eastAsia" w:ascii="宋体" w:hAnsi="宋体" w:eastAsia="宋体" w:cs="宋体"/>
                <w:snapToGrid w:val="0"/>
                <w:color w:val="auto"/>
                <w:kern w:val="0"/>
                <w:sz w:val="24"/>
                <w:szCs w:val="24"/>
              </w:rPr>
              <w:t>废</w:t>
            </w:r>
            <w:r>
              <w:rPr>
                <w:rFonts w:hint="eastAsia" w:ascii="宋体" w:hAnsi="宋体" w:cs="宋体"/>
                <w:snapToGrid w:val="0"/>
                <w:color w:val="auto"/>
                <w:kern w:val="0"/>
                <w:sz w:val="24"/>
                <w:szCs w:val="24"/>
                <w:lang w:val="en-US" w:eastAsia="zh-CN"/>
              </w:rPr>
              <w:t>物</w:t>
            </w:r>
            <w:r>
              <w:rPr>
                <w:rFonts w:hint="eastAsia" w:ascii="宋体" w:hAnsi="宋体" w:eastAsia="宋体" w:cs="宋体"/>
                <w:snapToGrid w:val="0"/>
                <w:color w:val="auto"/>
                <w:kern w:val="0"/>
                <w:sz w:val="24"/>
                <w:szCs w:val="24"/>
              </w:rPr>
              <w:t>暂存间内存放</w:t>
            </w:r>
            <w:r>
              <w:rPr>
                <w:rFonts w:hint="eastAsia" w:ascii="宋体" w:hAnsi="宋体" w:eastAsia="宋体" w:cs="宋体"/>
                <w:snapToGrid w:val="0"/>
                <w:color w:val="auto"/>
                <w:kern w:val="0"/>
                <w:sz w:val="24"/>
                <w:szCs w:val="24"/>
                <w:lang w:eastAsia="zh-CN"/>
              </w:rPr>
              <w:t>。</w:t>
            </w:r>
            <w:r>
              <w:rPr>
                <w:rFonts w:hint="eastAsia" w:ascii="宋体" w:hAnsi="宋体" w:eastAsia="宋体" w:cs="宋体"/>
                <w:snapToGrid w:val="0"/>
                <w:color w:val="auto"/>
                <w:kern w:val="0"/>
                <w:sz w:val="24"/>
                <w:szCs w:val="24"/>
                <w:lang w:val="en-US" w:eastAsia="zh-CN"/>
              </w:rPr>
              <w:t>由于产生量较少，并入感染性废物中，并在标签中注明。</w:t>
            </w:r>
            <w:r>
              <w:rPr>
                <w:rFonts w:hint="eastAsia" w:ascii="宋体" w:hAnsi="宋体" w:eastAsia="宋体" w:cs="宋体"/>
                <w:snapToGrid w:val="0"/>
                <w:color w:val="auto"/>
                <w:kern w:val="0"/>
                <w:sz w:val="24"/>
                <w:szCs w:val="24"/>
              </w:rPr>
              <w:t>委托</w:t>
            </w:r>
            <w:r>
              <w:rPr>
                <w:rFonts w:hint="eastAsia" w:ascii="宋体" w:hAnsi="宋体" w:eastAsia="宋体" w:cs="宋体"/>
                <w:snapToGrid w:val="0"/>
                <w:color w:val="auto"/>
                <w:kern w:val="0"/>
                <w:sz w:val="24"/>
                <w:szCs w:val="24"/>
                <w:lang w:val="en-US"/>
              </w:rPr>
              <w:t>资质的单位进行处理</w:t>
            </w:r>
            <w:r>
              <w:rPr>
                <w:rFonts w:hint="eastAsia" w:ascii="宋体" w:hAnsi="宋体" w:eastAsia="宋体" w:cs="宋体"/>
                <w:snapToGrid w:val="0"/>
                <w:color w:val="auto"/>
                <w:kern w:val="0"/>
                <w:sz w:val="24"/>
                <w:szCs w:val="24"/>
              </w:rPr>
              <w:t>。</w:t>
            </w:r>
          </w:p>
          <w:p>
            <w:pPr>
              <w:spacing w:line="360" w:lineRule="auto"/>
              <w:ind w:left="420" w:left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④</w:t>
            </w:r>
            <w:r>
              <w:rPr>
                <w:rFonts w:hint="eastAsia" w:ascii="宋体" w:hAnsi="宋体" w:eastAsia="宋体" w:cs="宋体"/>
                <w:color w:val="auto"/>
                <w:sz w:val="24"/>
                <w:szCs w:val="24"/>
              </w:rPr>
              <w:t>中药药渣</w:t>
            </w:r>
          </w:p>
          <w:p>
            <w:pPr>
              <w:spacing w:line="360" w:lineRule="auto"/>
              <w:ind w:firstLine="480" w:firstLineChars="200"/>
              <w:rPr>
                <w:rStyle w:val="25"/>
                <w:rFonts w:hint="eastAsia" w:ascii="宋体" w:hAnsi="宋体" w:eastAsia="宋体" w:cs="宋体"/>
                <w:color w:val="auto"/>
                <w:kern w:val="0"/>
                <w:sz w:val="24"/>
                <w:szCs w:val="24"/>
              </w:rPr>
            </w:pPr>
            <w:r>
              <w:rPr>
                <w:rFonts w:hint="eastAsia" w:ascii="宋体" w:hAnsi="宋体" w:eastAsia="宋体" w:cs="宋体"/>
                <w:color w:val="auto"/>
                <w:sz w:val="24"/>
                <w:szCs w:val="24"/>
              </w:rPr>
              <w:t>中药药渣：中药加水煎熬之后，成品由患者带走，剩余的中药渣并入生活垃圾，项目提供中药煎煮服务，每天煎药</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副，煮煎量约为</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kg/d、0.</w:t>
            </w:r>
            <w:r>
              <w:rPr>
                <w:rFonts w:hint="eastAsia" w:ascii="宋体" w:hAnsi="宋体" w:eastAsia="宋体" w:cs="宋体"/>
                <w:color w:val="auto"/>
                <w:sz w:val="24"/>
                <w:szCs w:val="24"/>
                <w:lang w:val="en-US" w:eastAsia="zh-CN"/>
              </w:rPr>
              <w:t>547</w:t>
            </w:r>
            <w:r>
              <w:rPr>
                <w:rFonts w:hint="eastAsia" w:ascii="宋体" w:hAnsi="宋体" w:eastAsia="宋体" w:cs="宋体"/>
                <w:color w:val="auto"/>
                <w:sz w:val="24"/>
                <w:szCs w:val="24"/>
              </w:rPr>
              <w:t>t/a，煎煮后中药成分小部分进入药液，同时吸收部分水份，煎煮过程中不同中药吸水量不同，一般中药50g的吸水量为10g，因此中药药渣产生量约为</w:t>
            </w:r>
            <w:r>
              <w:rPr>
                <w:rFonts w:hint="eastAsia" w:ascii="宋体" w:hAnsi="宋体" w:eastAsia="宋体" w:cs="宋体"/>
                <w:color w:val="auto"/>
                <w:sz w:val="24"/>
                <w:szCs w:val="24"/>
                <w:lang w:val="en-US" w:eastAsia="zh-CN"/>
              </w:rPr>
              <w:t>1.798</w:t>
            </w:r>
            <w:r>
              <w:rPr>
                <w:rFonts w:hint="eastAsia" w:ascii="宋体" w:hAnsi="宋体" w:eastAsia="宋体" w:cs="宋体"/>
                <w:color w:val="auto"/>
                <w:sz w:val="24"/>
                <w:szCs w:val="24"/>
              </w:rPr>
              <w:t>kg/d、</w:t>
            </w:r>
            <w:r>
              <w:rPr>
                <w:rFonts w:hint="eastAsia" w:ascii="宋体" w:hAnsi="宋体" w:eastAsia="宋体" w:cs="宋体"/>
                <w:color w:val="auto"/>
                <w:sz w:val="24"/>
                <w:szCs w:val="24"/>
                <w:lang w:val="en-US" w:eastAsia="zh-CN"/>
              </w:rPr>
              <w:t>0.6564</w:t>
            </w:r>
            <w:r>
              <w:rPr>
                <w:rFonts w:hint="eastAsia" w:ascii="宋体" w:hAnsi="宋体" w:eastAsia="宋体" w:cs="宋体"/>
                <w:color w:val="auto"/>
                <w:sz w:val="24"/>
                <w:szCs w:val="24"/>
              </w:rPr>
              <w:t>t/a，中药药渣不含重金属、有毒有害物质，属于一般固废，经垃圾桶收集后，委托当地环卫部门清运处置。</w:t>
            </w:r>
          </w:p>
          <w:p>
            <w:pPr>
              <w:numPr>
                <w:ilvl w:val="0"/>
                <w:numId w:val="0"/>
              </w:numPr>
              <w:spacing w:line="360" w:lineRule="auto"/>
              <w:ind w:left="630" w:left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⑤</w:t>
            </w:r>
            <w:r>
              <w:rPr>
                <w:rFonts w:hint="eastAsia" w:ascii="宋体" w:hAnsi="宋体" w:eastAsia="宋体" w:cs="宋体"/>
                <w:color w:val="auto"/>
                <w:sz w:val="24"/>
                <w:szCs w:val="24"/>
              </w:rPr>
              <w:t>废包装材料</w:t>
            </w:r>
          </w:p>
          <w:p>
            <w:pPr>
              <w:pStyle w:val="12"/>
              <w:spacing w:line="360" w:lineRule="auto"/>
              <w:ind w:firstLine="480" w:firstLineChars="200"/>
              <w:rPr>
                <w:rFonts w:hint="eastAsia" w:ascii="宋体" w:hAnsi="宋体" w:eastAsia="宋体" w:cs="宋体"/>
                <w:color w:val="auto"/>
                <w:kern w:val="2"/>
                <w:sz w:val="24"/>
                <w:szCs w:val="24"/>
              </w:rPr>
            </w:pPr>
            <w:r>
              <w:rPr>
                <w:rFonts w:hint="eastAsia" w:ascii="宋体" w:hAnsi="宋体" w:eastAsia="宋体" w:cs="宋体"/>
                <w:color w:val="auto"/>
                <w:sz w:val="24"/>
                <w:szCs w:val="24"/>
                <w:lang w:val="en-US" w:eastAsia="zh-CN"/>
              </w:rPr>
              <w:t>根据业主提供资料，药房</w:t>
            </w:r>
            <w:r>
              <w:rPr>
                <w:rFonts w:hint="eastAsia" w:ascii="宋体" w:hAnsi="宋体" w:eastAsia="宋体" w:cs="宋体"/>
                <w:color w:val="auto"/>
                <w:sz w:val="24"/>
                <w:szCs w:val="24"/>
              </w:rPr>
              <w:t>废包装材料产生量约为1kg/d，0.3</w:t>
            </w:r>
            <w:r>
              <w:rPr>
                <w:rFonts w:hint="eastAsia" w:ascii="宋体" w:hAnsi="宋体" w:eastAsia="宋体" w:cs="宋体"/>
                <w:color w:val="auto"/>
                <w:sz w:val="24"/>
                <w:szCs w:val="24"/>
                <w:lang w:val="en-US" w:eastAsia="zh-CN"/>
              </w:rPr>
              <w:t>65</w:t>
            </w:r>
            <w:r>
              <w:rPr>
                <w:rFonts w:hint="eastAsia" w:ascii="宋体" w:hAnsi="宋体" w:eastAsia="宋体" w:cs="宋体"/>
                <w:color w:val="auto"/>
                <w:sz w:val="24"/>
                <w:szCs w:val="24"/>
              </w:rPr>
              <w:t>t/a。属于一般固废，经垃圾桶收集后，</w:t>
            </w:r>
            <w:r>
              <w:rPr>
                <w:rFonts w:hint="eastAsia" w:ascii="宋体" w:hAnsi="宋体" w:eastAsia="宋体" w:cs="宋体"/>
                <w:color w:val="auto"/>
                <w:kern w:val="2"/>
                <w:sz w:val="24"/>
                <w:szCs w:val="24"/>
              </w:rPr>
              <w:t>外售废品回收站委托当地环卫部门清运处置。</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2、固体废弃物情况汇总</w:t>
            </w:r>
          </w:p>
          <w:p>
            <w:pPr>
              <w:adjustRightInd w:val="0"/>
              <w:snapToGrid w:val="0"/>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全院固体废弃物产生及处置情况见</w:t>
            </w:r>
            <w:r>
              <w:rPr>
                <w:rFonts w:hint="eastAsia" w:ascii="宋体" w:hAnsi="宋体" w:cs="宋体"/>
                <w:color w:val="auto"/>
                <w:kern w:val="0"/>
                <w:sz w:val="24"/>
                <w:szCs w:val="24"/>
                <w:lang w:val="en-US" w:eastAsia="zh-CN" w:bidi="ar"/>
              </w:rPr>
              <w:t>下表</w:t>
            </w:r>
            <w:r>
              <w:rPr>
                <w:rFonts w:hint="eastAsia" w:ascii="宋体" w:hAnsi="宋体" w:eastAsia="宋体" w:cs="宋体"/>
                <w:color w:val="auto"/>
                <w:kern w:val="0"/>
                <w:sz w:val="24"/>
                <w:szCs w:val="24"/>
                <w:lang w:bidi="ar"/>
              </w:rPr>
              <w:t>所示。</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lang w:val="en-US" w:eastAsia="zh-CN"/>
              </w:rPr>
              <w:t>表4-11  本项目主要固废产生和处置情况表</w:t>
            </w:r>
          </w:p>
          <w:tbl>
            <w:tblPr>
              <w:tblStyle w:val="26"/>
              <w:tblW w:w="7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667"/>
              <w:gridCol w:w="1389"/>
              <w:gridCol w:w="1355"/>
              <w:gridCol w:w="789"/>
              <w:gridCol w:w="1867"/>
              <w:gridCol w:w="733"/>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类别</w:t>
                  </w:r>
                </w:p>
              </w:tc>
              <w:tc>
                <w:tcPr>
                  <w:tcW w:w="138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性质</w:t>
                  </w:r>
                </w:p>
              </w:tc>
              <w:tc>
                <w:tcPr>
                  <w:tcW w:w="135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代码</w:t>
                  </w:r>
                </w:p>
              </w:tc>
              <w:tc>
                <w:tcPr>
                  <w:tcW w:w="78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产生量t/a</w:t>
                  </w:r>
                </w:p>
              </w:tc>
              <w:tc>
                <w:tcPr>
                  <w:tcW w:w="186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处置方式</w:t>
                  </w:r>
                </w:p>
              </w:tc>
              <w:tc>
                <w:tcPr>
                  <w:tcW w:w="73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处置量</w:t>
                  </w:r>
                  <w:r>
                    <w:rPr>
                      <w:rFonts w:hint="eastAsia" w:ascii="宋体" w:hAnsi="宋体" w:cs="宋体"/>
                      <w:color w:val="auto"/>
                      <w:sz w:val="18"/>
                      <w:szCs w:val="18"/>
                    </w:rPr>
                    <w:t>t/a</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环境管理要求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667" w:type="dxa"/>
                  <w:vMerge w:val="restart"/>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医疗废物</w:t>
                  </w:r>
                </w:p>
              </w:tc>
              <w:tc>
                <w:tcPr>
                  <w:tcW w:w="1389" w:type="dxa"/>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感染性废物</w:t>
                  </w:r>
                </w:p>
              </w:tc>
              <w:tc>
                <w:tcPr>
                  <w:tcW w:w="135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HW01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841-001-01</w:t>
                  </w:r>
                </w:p>
              </w:tc>
              <w:tc>
                <w:tcPr>
                  <w:tcW w:w="789" w:type="dxa"/>
                  <w:vMerge w:val="restart"/>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5.94</w:t>
                  </w:r>
                  <w:r>
                    <w:rPr>
                      <w:rFonts w:hint="eastAsia" w:ascii="宋体" w:hAnsi="宋体" w:cs="宋体"/>
                      <w:color w:val="auto"/>
                      <w:sz w:val="18"/>
                      <w:szCs w:val="18"/>
                      <w:lang w:val="en-US" w:eastAsia="zh-CN"/>
                    </w:rPr>
                    <w:t>1</w:t>
                  </w:r>
                </w:p>
              </w:tc>
              <w:tc>
                <w:tcPr>
                  <w:tcW w:w="1867"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color w:val="auto"/>
                      <w:sz w:val="18"/>
                      <w:szCs w:val="18"/>
                      <w:lang w:val="en-US" w:eastAsia="zh-CN"/>
                    </w:rPr>
                    <w:t>检验室产生的废液通过高温蒸汽消毒，</w:t>
                  </w:r>
                  <w:r>
                    <w:rPr>
                      <w:rFonts w:hint="eastAsia" w:ascii="宋体" w:hAnsi="宋体" w:eastAsia="宋体" w:cs="宋体"/>
                      <w:color w:val="auto"/>
                      <w:sz w:val="18"/>
                      <w:szCs w:val="18"/>
                      <w:lang w:eastAsia="zh-CN"/>
                    </w:rPr>
                    <w:t>分类</w:t>
                  </w:r>
                  <w:r>
                    <w:rPr>
                      <w:rFonts w:hint="eastAsia" w:ascii="宋体" w:hAnsi="宋体" w:eastAsia="宋体" w:cs="宋体"/>
                      <w:color w:val="auto"/>
                      <w:sz w:val="18"/>
                      <w:szCs w:val="18"/>
                    </w:rPr>
                    <w:t>收集到</w:t>
                  </w:r>
                  <w:r>
                    <w:rPr>
                      <w:rFonts w:hint="eastAsia" w:ascii="宋体" w:hAnsi="宋体" w:cs="宋体"/>
                      <w:color w:val="auto"/>
                      <w:sz w:val="18"/>
                      <w:szCs w:val="18"/>
                      <w:lang w:eastAsia="zh-CN"/>
                    </w:rPr>
                    <w:t>医疗废物暂存间</w:t>
                  </w:r>
                  <w:r>
                    <w:rPr>
                      <w:rFonts w:hint="eastAsia" w:ascii="宋体" w:hAnsi="宋体" w:eastAsia="宋体" w:cs="宋体"/>
                      <w:color w:val="auto"/>
                      <w:sz w:val="18"/>
                      <w:szCs w:val="18"/>
                    </w:rPr>
                    <w:t>，</w:t>
                  </w:r>
                  <w:r>
                    <w:rPr>
                      <w:rFonts w:hint="eastAsia" w:ascii="宋体" w:hAnsi="宋体" w:eastAsia="宋体" w:cs="宋体"/>
                      <w:b w:val="0"/>
                      <w:bCs w:val="0"/>
                      <w:color w:val="auto"/>
                      <w:sz w:val="18"/>
                      <w:szCs w:val="18"/>
                    </w:rPr>
                    <w:t>感染性</w:t>
                  </w:r>
                  <w:r>
                    <w:rPr>
                      <w:rFonts w:hint="eastAsia" w:ascii="宋体" w:hAnsi="宋体" w:cs="宋体"/>
                      <w:b w:val="0"/>
                      <w:bCs w:val="0"/>
                      <w:color w:val="auto"/>
                      <w:sz w:val="18"/>
                      <w:szCs w:val="18"/>
                      <w:lang w:val="en-US" w:eastAsia="zh-CN"/>
                    </w:rPr>
                    <w:t>废物</w:t>
                  </w:r>
                  <w:r>
                    <w:rPr>
                      <w:rFonts w:hint="eastAsia" w:ascii="宋体" w:hAnsi="宋体" w:eastAsia="宋体" w:cs="宋体"/>
                      <w:b w:val="0"/>
                      <w:bCs w:val="0"/>
                      <w:color w:val="auto"/>
                      <w:sz w:val="18"/>
                      <w:szCs w:val="18"/>
                    </w:rPr>
                    <w:t>、</w:t>
                  </w:r>
                  <w:r>
                    <w:rPr>
                      <w:rFonts w:hint="eastAsia" w:ascii="宋体" w:hAnsi="宋体" w:cs="宋体"/>
                      <w:b w:val="0"/>
                      <w:bCs w:val="0"/>
                      <w:color w:val="auto"/>
                      <w:sz w:val="18"/>
                      <w:szCs w:val="18"/>
                      <w:lang w:val="en-US" w:eastAsia="zh-CN"/>
                    </w:rPr>
                    <w:t>药物性废物、</w:t>
                  </w:r>
                  <w:r>
                    <w:rPr>
                      <w:rFonts w:hint="eastAsia" w:ascii="宋体" w:hAnsi="宋体" w:eastAsia="宋体" w:cs="宋体"/>
                      <w:color w:val="auto"/>
                      <w:sz w:val="18"/>
                      <w:szCs w:val="18"/>
                      <w:lang w:val="en-US" w:eastAsia="zh-CN"/>
                    </w:rPr>
                    <w:t>损伤性</w:t>
                  </w:r>
                  <w:r>
                    <w:rPr>
                      <w:rFonts w:hint="eastAsia" w:ascii="宋体" w:hAnsi="宋体" w:eastAsia="宋体" w:cs="宋体"/>
                      <w:b w:val="0"/>
                      <w:bCs w:val="0"/>
                      <w:color w:val="auto"/>
                      <w:sz w:val="18"/>
                      <w:szCs w:val="18"/>
                    </w:rPr>
                    <w:t>废物</w:t>
                  </w:r>
                  <w:r>
                    <w:rPr>
                      <w:rFonts w:hint="eastAsia" w:ascii="宋体" w:hAnsi="宋体" w:eastAsia="宋体" w:cs="宋体"/>
                      <w:color w:val="auto"/>
                      <w:sz w:val="18"/>
                      <w:szCs w:val="18"/>
                      <w:lang w:val="en-US" w:eastAsia="zh-CN"/>
                    </w:rPr>
                    <w:t>委托</w:t>
                  </w:r>
                  <w:r>
                    <w:rPr>
                      <w:rFonts w:hint="eastAsia" w:ascii="宋体" w:hAnsi="宋体" w:eastAsia="宋体" w:cs="宋体"/>
                      <w:b w:val="0"/>
                      <w:bCs w:val="0"/>
                      <w:color w:val="auto"/>
                      <w:sz w:val="18"/>
                      <w:szCs w:val="18"/>
                      <w:lang w:val="en-US" w:eastAsia="zh-CN"/>
                    </w:rPr>
                    <w:t>西双版纳州</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b w:val="0"/>
                      <w:bCs w:val="0"/>
                      <w:color w:val="auto"/>
                      <w:sz w:val="18"/>
                      <w:szCs w:val="18"/>
                      <w:lang w:val="en-US" w:eastAsia="zh-CN"/>
                    </w:rPr>
                    <w:t>金盛医疗废物处置有限公司</w:t>
                  </w:r>
                  <w:r>
                    <w:rPr>
                      <w:rFonts w:hint="eastAsia" w:ascii="宋体" w:hAnsi="宋体" w:eastAsia="宋体" w:cs="宋体"/>
                      <w:color w:val="auto"/>
                      <w:sz w:val="18"/>
                      <w:szCs w:val="18"/>
                      <w:lang w:val="en-US" w:eastAsia="zh-CN"/>
                    </w:rPr>
                    <w:t>进行清运和处置，</w:t>
                  </w:r>
                  <w:r>
                    <w:rPr>
                      <w:rFonts w:hint="eastAsia" w:ascii="宋体" w:hAnsi="宋体" w:eastAsia="宋体" w:cs="宋体"/>
                      <w:b w:val="0"/>
                      <w:bCs w:val="0"/>
                      <w:color w:val="auto"/>
                      <w:sz w:val="18"/>
                      <w:szCs w:val="18"/>
                    </w:rPr>
                    <w:t>病理性废物交</w:t>
                  </w:r>
                  <w:r>
                    <w:rPr>
                      <w:rFonts w:hint="eastAsia" w:ascii="宋体" w:hAnsi="宋体" w:cs="宋体"/>
                      <w:b w:val="0"/>
                      <w:bCs w:val="0"/>
                      <w:color w:val="auto"/>
                      <w:sz w:val="18"/>
                      <w:szCs w:val="18"/>
                      <w:lang w:val="en-US" w:eastAsia="zh-CN"/>
                    </w:rPr>
                    <w:t>资质单位清运</w:t>
                  </w:r>
                  <w:r>
                    <w:rPr>
                      <w:rFonts w:hint="eastAsia" w:ascii="宋体" w:hAnsi="宋体" w:eastAsia="宋体" w:cs="宋体"/>
                      <w:b w:val="0"/>
                      <w:bCs w:val="0"/>
                      <w:color w:val="auto"/>
                      <w:sz w:val="18"/>
                      <w:szCs w:val="18"/>
                    </w:rPr>
                    <w:t>处置</w:t>
                  </w:r>
                  <w:r>
                    <w:rPr>
                      <w:rFonts w:hint="eastAsia" w:ascii="宋体" w:hAnsi="宋体" w:cs="宋体"/>
                      <w:b w:val="0"/>
                      <w:bCs w:val="0"/>
                      <w:color w:val="auto"/>
                      <w:sz w:val="18"/>
                      <w:szCs w:val="18"/>
                      <w:lang w:eastAsia="zh-CN"/>
                    </w:rPr>
                    <w:t>。</w:t>
                  </w:r>
                </w:p>
              </w:tc>
              <w:tc>
                <w:tcPr>
                  <w:tcW w:w="733"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5.94</w:t>
                  </w:r>
                  <w:r>
                    <w:rPr>
                      <w:rFonts w:hint="eastAsia" w:ascii="宋体" w:hAnsi="宋体" w:cs="宋体"/>
                      <w:color w:val="auto"/>
                      <w:sz w:val="18"/>
                      <w:szCs w:val="18"/>
                      <w:lang w:val="en-US" w:eastAsia="zh-CN"/>
                    </w:rPr>
                    <w:t>1</w:t>
                  </w:r>
                </w:p>
              </w:tc>
              <w:tc>
                <w:tcPr>
                  <w:tcW w:w="73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rPr>
                    <w:t>100%处置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p>
              </w:tc>
              <w:tc>
                <w:tcPr>
                  <w:tcW w:w="667"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p>
              </w:tc>
              <w:tc>
                <w:tcPr>
                  <w:tcW w:w="1389" w:type="dxa"/>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病理性废物</w:t>
                  </w:r>
                </w:p>
              </w:tc>
              <w:tc>
                <w:tcPr>
                  <w:tcW w:w="135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HW01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841-003-01</w:t>
                  </w:r>
                </w:p>
              </w:tc>
              <w:tc>
                <w:tcPr>
                  <w:tcW w:w="789"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lang w:val="en-US" w:eastAsia="zh-CN"/>
                    </w:rPr>
                  </w:pPr>
                </w:p>
              </w:tc>
              <w:tc>
                <w:tcPr>
                  <w:tcW w:w="1867"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p>
              </w:tc>
              <w:tc>
                <w:tcPr>
                  <w:tcW w:w="73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p>
              </w:tc>
              <w:tc>
                <w:tcPr>
                  <w:tcW w:w="73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p>
              </w:tc>
              <w:tc>
                <w:tcPr>
                  <w:tcW w:w="667"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lang w:val="en-US" w:eastAsia="zh-CN"/>
                    </w:rPr>
                  </w:pPr>
                </w:p>
              </w:tc>
              <w:tc>
                <w:tcPr>
                  <w:tcW w:w="1389" w:type="dxa"/>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药物</w:t>
                  </w:r>
                  <w:r>
                    <w:rPr>
                      <w:rFonts w:hint="eastAsia" w:ascii="宋体" w:hAnsi="宋体" w:eastAsia="宋体" w:cs="宋体"/>
                      <w:color w:val="auto"/>
                      <w:sz w:val="18"/>
                      <w:szCs w:val="18"/>
                    </w:rPr>
                    <w:t>性废物</w:t>
                  </w:r>
                </w:p>
              </w:tc>
              <w:tc>
                <w:tcPr>
                  <w:tcW w:w="135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HW01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841-005-01</w:t>
                  </w:r>
                </w:p>
              </w:tc>
              <w:tc>
                <w:tcPr>
                  <w:tcW w:w="789"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lang w:val="en-US" w:eastAsia="zh-CN"/>
                    </w:rPr>
                  </w:pPr>
                </w:p>
              </w:tc>
              <w:tc>
                <w:tcPr>
                  <w:tcW w:w="1867"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p>
              </w:tc>
              <w:tc>
                <w:tcPr>
                  <w:tcW w:w="733"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p>
              </w:tc>
              <w:tc>
                <w:tcPr>
                  <w:tcW w:w="734"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p>
              </w:tc>
              <w:tc>
                <w:tcPr>
                  <w:tcW w:w="667"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lang w:val="en-US" w:eastAsia="zh-CN"/>
                    </w:rPr>
                  </w:pPr>
                </w:p>
              </w:tc>
              <w:tc>
                <w:tcPr>
                  <w:tcW w:w="1389" w:type="dxa"/>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损伤性废物</w:t>
                  </w:r>
                </w:p>
              </w:tc>
              <w:tc>
                <w:tcPr>
                  <w:tcW w:w="135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HW01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841-002-01</w:t>
                  </w:r>
                </w:p>
              </w:tc>
              <w:tc>
                <w:tcPr>
                  <w:tcW w:w="789"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lang w:val="en-US" w:eastAsia="zh-CN"/>
                    </w:rPr>
                  </w:pPr>
                </w:p>
              </w:tc>
              <w:tc>
                <w:tcPr>
                  <w:tcW w:w="1867"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p>
              </w:tc>
              <w:tc>
                <w:tcPr>
                  <w:tcW w:w="733"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p>
              </w:tc>
              <w:tc>
                <w:tcPr>
                  <w:tcW w:w="734" w:type="dxa"/>
                  <w:vMerge w:val="continue"/>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2</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生活垃圾</w:t>
                  </w:r>
                </w:p>
              </w:tc>
              <w:tc>
                <w:tcPr>
                  <w:tcW w:w="138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一般固体废物</w:t>
                  </w:r>
                </w:p>
              </w:tc>
              <w:tc>
                <w:tcPr>
                  <w:tcW w:w="135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p>
              </w:tc>
              <w:tc>
                <w:tcPr>
                  <w:tcW w:w="78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33.58</w:t>
                  </w:r>
                </w:p>
              </w:tc>
              <w:tc>
                <w:tcPr>
                  <w:tcW w:w="186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生活垃圾使用生活垃圾收集桶集中收集，运至环卫部门指定地点处理</w:t>
                  </w:r>
                </w:p>
              </w:tc>
              <w:tc>
                <w:tcPr>
                  <w:tcW w:w="73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33.58</w:t>
                  </w:r>
                </w:p>
              </w:tc>
              <w:tc>
                <w:tcPr>
                  <w:tcW w:w="73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p>
              </w:tc>
              <w:tc>
                <w:tcPr>
                  <w:tcW w:w="6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污泥</w:t>
                  </w:r>
                </w:p>
              </w:tc>
              <w:tc>
                <w:tcPr>
                  <w:tcW w:w="13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危险废物</w:t>
                  </w:r>
                </w:p>
              </w:tc>
              <w:tc>
                <w:tcPr>
                  <w:tcW w:w="13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HW49</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772-006-49</w:t>
                  </w:r>
                </w:p>
              </w:tc>
              <w:tc>
                <w:tcPr>
                  <w:tcW w:w="78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0.378</w:t>
                  </w:r>
                </w:p>
              </w:tc>
              <w:tc>
                <w:tcPr>
                  <w:tcW w:w="186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消毒后，</w:t>
                  </w:r>
                  <w:r>
                    <w:rPr>
                      <w:rFonts w:hint="eastAsia" w:ascii="宋体" w:hAnsi="宋体" w:eastAsia="宋体" w:cs="宋体"/>
                      <w:color w:val="auto"/>
                      <w:sz w:val="18"/>
                      <w:szCs w:val="18"/>
                    </w:rPr>
                    <w:t>委托</w:t>
                  </w:r>
                  <w:r>
                    <w:rPr>
                      <w:rFonts w:hint="eastAsia" w:ascii="宋体" w:hAnsi="宋体" w:eastAsia="宋体" w:cs="宋体"/>
                      <w:color w:val="auto"/>
                      <w:sz w:val="18"/>
                      <w:szCs w:val="18"/>
                      <w:lang w:val="en-US" w:eastAsia="zh-CN"/>
                    </w:rPr>
                    <w:t>有资质单位</w:t>
                  </w:r>
                  <w:r>
                    <w:rPr>
                      <w:rFonts w:hint="eastAsia" w:ascii="宋体" w:hAnsi="宋体" w:cs="宋体"/>
                      <w:color w:val="auto"/>
                      <w:sz w:val="18"/>
                      <w:szCs w:val="18"/>
                      <w:lang w:val="en-US" w:eastAsia="zh-CN"/>
                    </w:rPr>
                    <w:t>清运及处置</w:t>
                  </w:r>
                </w:p>
              </w:tc>
              <w:tc>
                <w:tcPr>
                  <w:tcW w:w="73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0.378</w:t>
                  </w:r>
                </w:p>
              </w:tc>
              <w:tc>
                <w:tcPr>
                  <w:tcW w:w="73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6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中药药渣</w:t>
                  </w:r>
                </w:p>
              </w:tc>
              <w:tc>
                <w:tcPr>
                  <w:tcW w:w="13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一般固体废物</w:t>
                  </w:r>
                </w:p>
              </w:tc>
              <w:tc>
                <w:tcPr>
                  <w:tcW w:w="13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p>
              </w:tc>
              <w:tc>
                <w:tcPr>
                  <w:tcW w:w="78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0.6564</w:t>
                  </w:r>
                </w:p>
              </w:tc>
              <w:tc>
                <w:tcPr>
                  <w:tcW w:w="186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委托当地环卫部门清运处置</w:t>
                  </w:r>
                </w:p>
              </w:tc>
              <w:tc>
                <w:tcPr>
                  <w:tcW w:w="73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0.6564</w:t>
                  </w:r>
                </w:p>
              </w:tc>
              <w:tc>
                <w:tcPr>
                  <w:tcW w:w="73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w:t>
                  </w:r>
                </w:p>
              </w:tc>
              <w:tc>
                <w:tcPr>
                  <w:tcW w:w="6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废包装材料</w:t>
                  </w:r>
                </w:p>
              </w:tc>
              <w:tc>
                <w:tcPr>
                  <w:tcW w:w="13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一般固体废物</w:t>
                  </w:r>
                </w:p>
              </w:tc>
              <w:tc>
                <w:tcPr>
                  <w:tcW w:w="13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p>
              </w:tc>
              <w:tc>
                <w:tcPr>
                  <w:tcW w:w="78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0.3</w:t>
                  </w:r>
                  <w:r>
                    <w:rPr>
                      <w:rFonts w:hint="eastAsia" w:ascii="宋体" w:hAnsi="宋体" w:eastAsia="宋体" w:cs="宋体"/>
                      <w:color w:val="auto"/>
                      <w:sz w:val="18"/>
                      <w:szCs w:val="18"/>
                      <w:lang w:val="en-US" w:eastAsia="zh-CN"/>
                    </w:rPr>
                    <w:t>65</w:t>
                  </w:r>
                </w:p>
              </w:tc>
              <w:tc>
                <w:tcPr>
                  <w:tcW w:w="186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委托当地环卫部门清运处置</w:t>
                  </w:r>
                </w:p>
              </w:tc>
              <w:tc>
                <w:tcPr>
                  <w:tcW w:w="73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0.3</w:t>
                  </w:r>
                  <w:r>
                    <w:rPr>
                      <w:rFonts w:hint="eastAsia" w:ascii="宋体" w:hAnsi="宋体" w:eastAsia="宋体" w:cs="宋体"/>
                      <w:color w:val="auto"/>
                      <w:sz w:val="18"/>
                      <w:szCs w:val="18"/>
                      <w:lang w:val="en-US" w:eastAsia="zh-CN"/>
                    </w:rPr>
                    <w:t>65</w:t>
                  </w:r>
                </w:p>
              </w:tc>
              <w:tc>
                <w:tcPr>
                  <w:tcW w:w="73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p>
              </w:tc>
            </w:tr>
          </w:tbl>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firstLineChars="200"/>
              <w:jc w:val="left"/>
              <w:textAlignment w:val="auto"/>
              <w:rPr>
                <w:rFonts w:hint="eastAsia" w:ascii="宋体" w:hAnsi="宋体" w:eastAsia="宋体" w:cs="宋体"/>
                <w:b/>
                <w:bCs/>
                <w:color w:val="auto"/>
                <w:sz w:val="24"/>
                <w:szCs w:val="24"/>
                <w:lang w:val="en-US" w:eastAsia="zh-CN"/>
              </w:rPr>
            </w:pPr>
          </w:p>
          <w:p>
            <w:pPr>
              <w:keepNext w:val="0"/>
              <w:keepLines w:val="0"/>
              <w:suppressLineNumbers w:val="0"/>
              <w:spacing w:before="0" w:beforeAutospacing="0" w:after="0" w:afterAutospacing="0" w:line="240" w:lineRule="auto"/>
              <w:ind w:left="0" w:right="0" w:firstLine="0" w:firstLineChars="0"/>
              <w:jc w:val="center"/>
              <w:rPr>
                <w:rFonts w:hint="eastAsia" w:ascii="黑体" w:hAnsi="黑体" w:eastAsia="黑体" w:cs="黑体"/>
                <w:b w:val="0"/>
                <w:bCs w:val="0"/>
                <w:color w:val="auto"/>
                <w:szCs w:val="22"/>
                <w:highlight w:val="none"/>
                <w:lang w:val="en-US" w:eastAsia="zh-CN"/>
              </w:rPr>
            </w:pPr>
            <w:r>
              <w:rPr>
                <w:rFonts w:hint="eastAsia" w:ascii="黑体" w:hAnsi="黑体" w:eastAsia="黑体" w:cs="黑体"/>
                <w:b w:val="0"/>
                <w:bCs w:val="0"/>
                <w:color w:val="auto"/>
                <w:szCs w:val="22"/>
                <w:highlight w:val="none"/>
                <w:lang w:val="en-US" w:eastAsia="zh-CN"/>
              </w:rPr>
              <w:t>表4-12  医疗废物暂存间基本情况表</w:t>
            </w:r>
          </w:p>
          <w:tbl>
            <w:tblPr>
              <w:tblStyle w:val="26"/>
              <w:tblW w:w="785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14"/>
              <w:gridCol w:w="964"/>
              <w:gridCol w:w="857"/>
              <w:gridCol w:w="1079"/>
              <w:gridCol w:w="636"/>
              <w:gridCol w:w="676"/>
              <w:gridCol w:w="916"/>
              <w:gridCol w:w="17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014"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序号</w:t>
                  </w:r>
                </w:p>
              </w:tc>
              <w:tc>
                <w:tcPr>
                  <w:tcW w:w="964"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贮存场所（设施）名称</w:t>
                  </w:r>
                </w:p>
              </w:tc>
              <w:tc>
                <w:tcPr>
                  <w:tcW w:w="857"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危险废物名称</w:t>
                  </w:r>
                </w:p>
              </w:tc>
              <w:tc>
                <w:tcPr>
                  <w:tcW w:w="1079"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危险废物代码</w:t>
                  </w:r>
                </w:p>
              </w:tc>
              <w:tc>
                <w:tcPr>
                  <w:tcW w:w="636"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位置</w:t>
                  </w:r>
                </w:p>
              </w:tc>
              <w:tc>
                <w:tcPr>
                  <w:tcW w:w="676"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占地面积</w:t>
                  </w:r>
                </w:p>
              </w:tc>
              <w:tc>
                <w:tcPr>
                  <w:tcW w:w="916"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贮存方式</w:t>
                  </w:r>
                </w:p>
              </w:tc>
              <w:tc>
                <w:tcPr>
                  <w:tcW w:w="1713"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贮存</w:t>
                  </w:r>
                </w:p>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周期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014"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p>
              </w:tc>
              <w:tc>
                <w:tcPr>
                  <w:tcW w:w="964" w:type="dxa"/>
                  <w:vMerge w:val="restart"/>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rPr>
                  </w:pPr>
                  <w:r>
                    <w:rPr>
                      <w:rFonts w:hint="eastAsia" w:ascii="宋体" w:hAnsi="宋体" w:cs="宋体"/>
                      <w:color w:val="auto"/>
                      <w:kern w:val="0"/>
                      <w:sz w:val="18"/>
                      <w:szCs w:val="18"/>
                      <w:highlight w:val="none"/>
                      <w:lang w:val="en-US" w:eastAsia="zh-CN"/>
                    </w:rPr>
                    <w:t>医疗废物</w:t>
                  </w:r>
                  <w:r>
                    <w:rPr>
                      <w:rFonts w:hint="eastAsia" w:ascii="宋体" w:hAnsi="宋体" w:eastAsia="宋体" w:cs="宋体"/>
                      <w:color w:val="auto"/>
                      <w:kern w:val="0"/>
                      <w:sz w:val="18"/>
                      <w:szCs w:val="18"/>
                      <w:highlight w:val="none"/>
                    </w:rPr>
                    <w:t>暂存间</w:t>
                  </w:r>
                </w:p>
              </w:tc>
              <w:tc>
                <w:tcPr>
                  <w:tcW w:w="857" w:type="dxa"/>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sz w:val="18"/>
                      <w:szCs w:val="18"/>
                    </w:rPr>
                    <w:t>感染性废物</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HW01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sz w:val="18"/>
                      <w:szCs w:val="18"/>
                      <w:lang w:val="en-US" w:eastAsia="zh-CN"/>
                    </w:rPr>
                    <w:t>841-001-01</w:t>
                  </w:r>
                </w:p>
              </w:tc>
              <w:tc>
                <w:tcPr>
                  <w:tcW w:w="636" w:type="dxa"/>
                  <w:vMerge w:val="restart"/>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厂区内</w:t>
                  </w:r>
                </w:p>
              </w:tc>
              <w:tc>
                <w:tcPr>
                  <w:tcW w:w="676" w:type="dxa"/>
                  <w:vMerge w:val="restart"/>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rPr>
                  </w:pPr>
                  <w:r>
                    <w:rPr>
                      <w:rFonts w:hint="eastAsia" w:ascii="宋体" w:hAnsi="宋体" w:cs="宋体"/>
                      <w:color w:val="auto"/>
                      <w:kern w:val="0"/>
                      <w:sz w:val="18"/>
                      <w:szCs w:val="18"/>
                      <w:highlight w:val="none"/>
                      <w:lang w:val="en-US" w:eastAsia="zh-CN"/>
                    </w:rPr>
                    <w:t>20</w:t>
                  </w:r>
                  <w:r>
                    <w:rPr>
                      <w:rFonts w:hint="eastAsia" w:ascii="宋体" w:hAnsi="宋体" w:eastAsia="宋体" w:cs="宋体"/>
                      <w:color w:val="auto"/>
                      <w:kern w:val="0"/>
                      <w:sz w:val="18"/>
                      <w:szCs w:val="18"/>
                      <w:highlight w:val="none"/>
                    </w:rPr>
                    <w:t>m</w:t>
                  </w:r>
                  <w:r>
                    <w:rPr>
                      <w:rFonts w:hint="eastAsia" w:ascii="宋体" w:hAnsi="宋体" w:eastAsia="宋体" w:cs="宋体"/>
                      <w:color w:val="auto"/>
                      <w:kern w:val="0"/>
                      <w:sz w:val="18"/>
                      <w:szCs w:val="18"/>
                      <w:highlight w:val="none"/>
                      <w:vertAlign w:val="superscript"/>
                    </w:rPr>
                    <w:t>2</w:t>
                  </w:r>
                </w:p>
              </w:tc>
              <w:tc>
                <w:tcPr>
                  <w:tcW w:w="916" w:type="dxa"/>
                  <w:vMerge w:val="restart"/>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专用</w:t>
                  </w:r>
                  <w:r>
                    <w:rPr>
                      <w:rFonts w:hint="eastAsia" w:ascii="宋体" w:hAnsi="宋体" w:eastAsia="宋体" w:cs="宋体"/>
                      <w:color w:val="auto"/>
                      <w:kern w:val="0"/>
                      <w:sz w:val="18"/>
                      <w:szCs w:val="18"/>
                      <w:highlight w:val="none"/>
                    </w:rPr>
                    <w:t>收集桶</w:t>
                  </w:r>
                </w:p>
              </w:tc>
              <w:tc>
                <w:tcPr>
                  <w:tcW w:w="1713" w:type="dxa"/>
                  <w:vMerge w:val="restart"/>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24h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014"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w:t>
                  </w:r>
                </w:p>
              </w:tc>
              <w:tc>
                <w:tcPr>
                  <w:tcW w:w="964"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rPr>
                  </w:pPr>
                </w:p>
              </w:tc>
              <w:tc>
                <w:tcPr>
                  <w:tcW w:w="857" w:type="dxa"/>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rPr>
                    <w:t>病理性废物</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HW01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sz w:val="18"/>
                      <w:szCs w:val="18"/>
                      <w:lang w:val="en-US" w:eastAsia="zh-CN"/>
                    </w:rPr>
                    <w:t>841-003-01</w:t>
                  </w:r>
                </w:p>
              </w:tc>
              <w:tc>
                <w:tcPr>
                  <w:tcW w:w="636"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p>
              </w:tc>
              <w:tc>
                <w:tcPr>
                  <w:tcW w:w="676"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p>
              </w:tc>
              <w:tc>
                <w:tcPr>
                  <w:tcW w:w="916"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rPr>
                  </w:pPr>
                </w:p>
              </w:tc>
              <w:tc>
                <w:tcPr>
                  <w:tcW w:w="1713"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014"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w:t>
                  </w:r>
                </w:p>
              </w:tc>
              <w:tc>
                <w:tcPr>
                  <w:tcW w:w="964"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rPr>
                  </w:pPr>
                </w:p>
              </w:tc>
              <w:tc>
                <w:tcPr>
                  <w:tcW w:w="857" w:type="dxa"/>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rPr>
                    <w:t>损伤性废物</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HW01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sz w:val="18"/>
                      <w:szCs w:val="18"/>
                      <w:lang w:val="en-US" w:eastAsia="zh-CN"/>
                    </w:rPr>
                    <w:t>841-002-01</w:t>
                  </w:r>
                </w:p>
              </w:tc>
              <w:tc>
                <w:tcPr>
                  <w:tcW w:w="636"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p>
              </w:tc>
              <w:tc>
                <w:tcPr>
                  <w:tcW w:w="676"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p>
              </w:tc>
              <w:tc>
                <w:tcPr>
                  <w:tcW w:w="916"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rPr>
                  </w:pPr>
                </w:p>
              </w:tc>
              <w:tc>
                <w:tcPr>
                  <w:tcW w:w="1713"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014" w:type="dxa"/>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964"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rPr>
                  </w:pPr>
                </w:p>
              </w:tc>
              <w:tc>
                <w:tcPr>
                  <w:tcW w:w="857" w:type="dxa"/>
                  <w:vAlign w:val="center"/>
                </w:tcPr>
                <w:p>
                  <w:pPr>
                    <w:keepNext w:val="0"/>
                    <w:keepLines w:val="0"/>
                    <w:pageBreakBefore w:val="0"/>
                    <w:kinsoku/>
                    <w:wordWrap/>
                    <w:overflowPunct/>
                    <w:topLinePunct w:val="0"/>
                    <w:autoSpaceDE/>
                    <w:autoSpaceDN/>
                    <w:bidi w:val="0"/>
                    <w:adjustRightInd/>
                    <w:snapToGrid/>
                    <w:spacing w:line="240" w:lineRule="auto"/>
                    <w:contextualSpacing/>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药物</w:t>
                  </w:r>
                  <w:r>
                    <w:rPr>
                      <w:rFonts w:hint="eastAsia" w:ascii="宋体" w:hAnsi="宋体" w:eastAsia="宋体" w:cs="宋体"/>
                      <w:color w:val="auto"/>
                      <w:sz w:val="18"/>
                      <w:szCs w:val="18"/>
                    </w:rPr>
                    <w:t>性废物</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HW01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841-005-01</w:t>
                  </w:r>
                </w:p>
              </w:tc>
              <w:tc>
                <w:tcPr>
                  <w:tcW w:w="636"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p>
              </w:tc>
              <w:tc>
                <w:tcPr>
                  <w:tcW w:w="676"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p>
              </w:tc>
              <w:tc>
                <w:tcPr>
                  <w:tcW w:w="916"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rPr>
                  </w:pPr>
                </w:p>
              </w:tc>
              <w:tc>
                <w:tcPr>
                  <w:tcW w:w="1713" w:type="dxa"/>
                  <w:vMerge w:val="continue"/>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0"/>
                      <w:sz w:val="18"/>
                      <w:szCs w:val="18"/>
                      <w:highlight w:val="none"/>
                      <w:lang w:val="en-US" w:eastAsia="zh-CN"/>
                    </w:rPr>
                  </w:pPr>
                </w:p>
              </w:tc>
            </w:tr>
          </w:tbl>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b/>
                <w:bCs/>
                <w:color w:val="auto"/>
                <w:sz w:val="24"/>
                <w:szCs w:val="24"/>
                <w:lang w:val="en-US" w:eastAsia="zh-CN"/>
              </w:rPr>
            </w:pP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3、医疗废物管理要求</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为了加强医废管理，保证项目产生的医废有合理的处置措施和去向，本</w:t>
            </w:r>
            <w:r>
              <w:rPr>
                <w:rFonts w:hint="eastAsia" w:cs="宋体"/>
                <w:color w:val="auto"/>
                <w:sz w:val="24"/>
                <w:szCs w:val="24"/>
                <w:lang w:val="en-US" w:eastAsia="zh-CN"/>
              </w:rPr>
              <w:t>次</w:t>
            </w:r>
            <w:r>
              <w:rPr>
                <w:rFonts w:hint="eastAsia" w:ascii="宋体" w:hAnsi="宋体" w:eastAsia="宋体" w:cs="宋体"/>
                <w:color w:val="auto"/>
                <w:sz w:val="24"/>
                <w:szCs w:val="24"/>
              </w:rPr>
              <w:t>环评提出</w:t>
            </w:r>
            <w:r>
              <w:rPr>
                <w:rFonts w:hint="eastAsia" w:cs="宋体"/>
                <w:color w:val="auto"/>
                <w:sz w:val="24"/>
                <w:szCs w:val="24"/>
                <w:lang w:val="en-US" w:eastAsia="zh-CN"/>
              </w:rPr>
              <w:t>以下医疗废物管理要求</w:t>
            </w:r>
            <w:r>
              <w:rPr>
                <w:rFonts w:hint="eastAsia" w:ascii="宋体" w:hAnsi="宋体" w:eastAsia="宋体" w:cs="宋体"/>
                <w:color w:val="auto"/>
                <w:sz w:val="24"/>
                <w:szCs w:val="24"/>
              </w:rPr>
              <w:t>：</w:t>
            </w:r>
          </w:p>
          <w:p>
            <w:pPr>
              <w:pStyle w:val="21"/>
              <w:spacing w:before="0" w:beforeAutospacing="0" w:after="0" w:afterAutospacing="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（1）建设单位必须建立健全</w:t>
            </w:r>
            <w:r>
              <w:rPr>
                <w:rFonts w:hint="eastAsia" w:ascii="宋体" w:hAnsi="宋体" w:eastAsia="宋体" w:cs="宋体"/>
                <w:color w:val="auto"/>
                <w:sz w:val="24"/>
                <w:szCs w:val="24"/>
                <w:lang w:val="en-US" w:eastAsia="zh-CN"/>
              </w:rPr>
              <w:t>医疗</w:t>
            </w:r>
            <w:r>
              <w:rPr>
                <w:rFonts w:hint="eastAsia" w:ascii="宋体" w:hAnsi="宋体" w:eastAsia="宋体" w:cs="宋体"/>
                <w:color w:val="auto"/>
                <w:sz w:val="24"/>
                <w:szCs w:val="24"/>
              </w:rPr>
              <w:t>废物产生、处理、转移台账记录；</w:t>
            </w:r>
          </w:p>
          <w:p>
            <w:pPr>
              <w:pStyle w:val="21"/>
              <w:spacing w:before="0" w:beforeAutospacing="0" w:after="0" w:afterAutospacing="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建设单位如实填写联单中产生单位栏目，并加盖公章，经交付危险废物运输单位核实验收签字后，将联单第一联副联自留存档，将联单第二联交移出地环境保护行政主管部门，联单第一联正联及其余各联交付运输单位随</w:t>
            </w:r>
            <w:r>
              <w:rPr>
                <w:rFonts w:hint="eastAsia" w:ascii="宋体" w:hAnsi="宋体" w:eastAsia="宋体" w:cs="宋体"/>
                <w:color w:val="auto"/>
                <w:sz w:val="24"/>
                <w:szCs w:val="24"/>
                <w:lang w:eastAsia="zh-CN"/>
              </w:rPr>
              <w:t>医疗</w:t>
            </w:r>
            <w:r>
              <w:rPr>
                <w:rFonts w:hint="eastAsia" w:ascii="宋体" w:hAnsi="宋体" w:eastAsia="宋体" w:cs="宋体"/>
                <w:color w:val="auto"/>
                <w:sz w:val="24"/>
                <w:szCs w:val="24"/>
              </w:rPr>
              <w:t>废物转移运行。</w:t>
            </w:r>
          </w:p>
          <w:p>
            <w:pPr>
              <w:widowControl/>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w:t>
            </w:r>
            <w:r>
              <w:rPr>
                <w:rFonts w:hint="eastAsia" w:ascii="宋体" w:hAnsi="宋体" w:eastAsia="宋体" w:cs="宋体"/>
                <w:color w:val="auto"/>
                <w:sz w:val="24"/>
                <w:szCs w:val="24"/>
              </w:rPr>
              <w:t>分类收集：本单位产生的医疗废物应按照类别分置于防渗漏、防锐器穿透的专用包装物或者密闭容器内。医疗废物包装袋的颜色为淡黄，颜色应符合GB/T 3181中Y06的要求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包装袋的明显处应印制图</w:t>
            </w:r>
            <w:r>
              <w:rPr>
                <w:rFonts w:hint="eastAsia" w:ascii="宋体" w:hAnsi="宋体" w:eastAsia="宋体" w:cs="宋体"/>
                <w:color w:val="auto"/>
                <w:sz w:val="24"/>
                <w:szCs w:val="24"/>
                <w:lang w:val="en-US" w:eastAsia="zh-CN"/>
              </w:rPr>
              <w:t>4-2</w:t>
            </w:r>
            <w:r>
              <w:rPr>
                <w:rFonts w:hint="eastAsia" w:ascii="宋体" w:hAnsi="宋体" w:eastAsia="宋体" w:cs="宋体"/>
                <w:color w:val="auto"/>
                <w:sz w:val="24"/>
                <w:szCs w:val="24"/>
              </w:rPr>
              <w:t>所示的警示标志和警告语。</w:t>
            </w:r>
            <w:r>
              <w:rPr>
                <w:rFonts w:hint="eastAsia" w:ascii="宋体" w:hAnsi="宋体" w:cs="宋体"/>
                <w:color w:val="auto"/>
                <w:sz w:val="24"/>
                <w:szCs w:val="24"/>
                <w:lang w:val="en-US" w:eastAsia="zh-CN"/>
              </w:rPr>
              <w:t>根据</w:t>
            </w:r>
            <w:r>
              <w:rPr>
                <w:rFonts w:hint="eastAsia" w:ascii="宋体" w:hAnsi="宋体" w:eastAsia="宋体" w:cs="宋体"/>
                <w:color w:val="auto"/>
                <w:sz w:val="24"/>
                <w:szCs w:val="24"/>
                <w:lang w:eastAsia="zh-CN"/>
              </w:rPr>
              <w:t>《医疗废物专用包装物、容器的标准和警示标识的规定》，</w:t>
            </w:r>
            <w:r>
              <w:rPr>
                <w:rFonts w:hint="eastAsia" w:ascii="宋体" w:hAnsi="宋体" w:eastAsia="宋体" w:cs="宋体"/>
                <w:color w:val="auto"/>
                <w:sz w:val="24"/>
                <w:szCs w:val="24"/>
                <w:lang w:val="en-US" w:eastAsia="zh-CN"/>
              </w:rPr>
              <w:t>还应满足下列要求：</w:t>
            </w:r>
          </w:p>
          <w:p>
            <w:pPr>
              <w:widowControl/>
              <w:spacing w:line="36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a.</w:t>
            </w:r>
            <w:r>
              <w:rPr>
                <w:rFonts w:hint="eastAsia" w:ascii="宋体" w:hAnsi="宋体" w:cs="宋体"/>
                <w:color w:val="auto"/>
                <w:sz w:val="24"/>
                <w:szCs w:val="24"/>
                <w:lang w:eastAsia="zh-CN"/>
              </w:rPr>
              <w:t>包装袋不得使用聚氯乙烯(PVC)）塑料为制造原料;</w:t>
            </w:r>
          </w:p>
          <w:p>
            <w:pPr>
              <w:widowControl/>
              <w:spacing w:line="36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b.</w:t>
            </w:r>
            <w:r>
              <w:rPr>
                <w:rFonts w:hint="eastAsia" w:ascii="宋体" w:hAnsi="宋体" w:cs="宋体"/>
                <w:color w:val="auto"/>
                <w:sz w:val="24"/>
                <w:szCs w:val="24"/>
                <w:lang w:eastAsia="zh-CN"/>
              </w:rPr>
              <w:t>聚乙烯(PE)包装袋正常使用时不得渗漏、破裂、穿孔;</w:t>
            </w:r>
          </w:p>
          <w:p>
            <w:pPr>
              <w:widowControl/>
              <w:spacing w:line="36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c.</w:t>
            </w:r>
            <w:r>
              <w:rPr>
                <w:rFonts w:hint="eastAsia" w:ascii="宋体" w:hAnsi="宋体" w:cs="宋体"/>
                <w:color w:val="auto"/>
                <w:sz w:val="24"/>
                <w:szCs w:val="24"/>
                <w:lang w:eastAsia="zh-CN"/>
              </w:rPr>
              <w:t>最大容积为0.1m3，大小和形状适中，便于搬运和配合周转箱（桶）盛状;</w:t>
            </w:r>
          </w:p>
          <w:p>
            <w:pPr>
              <w:widowControl/>
              <w:spacing w:line="36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d.</w:t>
            </w:r>
            <w:r>
              <w:rPr>
                <w:rFonts w:hint="eastAsia" w:ascii="宋体" w:hAnsi="宋体" w:cs="宋体"/>
                <w:color w:val="auto"/>
                <w:sz w:val="24"/>
                <w:szCs w:val="24"/>
                <w:lang w:eastAsia="zh-CN"/>
              </w:rPr>
              <w:t>如果使用线型低密度聚乙烯(LLDPE)或低密度聚乙烯与线型低密度聚乙烯共混(LLDPE+LDPE)为原料，其最小公称厚度应为150um;如果使用中密度或高密度聚乙烯(MDPE，HDPE)，其最小公称厚度应为80um;</w:t>
            </w:r>
          </w:p>
          <w:p>
            <w:pPr>
              <w:widowControl/>
              <w:spacing w:line="36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e.</w:t>
            </w:r>
            <w:r>
              <w:rPr>
                <w:rFonts w:hint="eastAsia" w:ascii="宋体" w:hAnsi="宋体" w:cs="宋体"/>
                <w:color w:val="auto"/>
                <w:sz w:val="24"/>
                <w:szCs w:val="24"/>
                <w:lang w:eastAsia="zh-CN"/>
              </w:rPr>
              <w:t>包装袋的颜色为黄色，并有盛装医疗废物类型的文字说明，如盛装感染性废物，应在包装袋上加注“感染性废物”字样;</w:t>
            </w:r>
          </w:p>
          <w:p>
            <w:pPr>
              <w:widowControl/>
              <w:spacing w:line="36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f.</w:t>
            </w:r>
            <w:r>
              <w:rPr>
                <w:rFonts w:hint="eastAsia" w:ascii="宋体" w:hAnsi="宋体" w:cs="宋体"/>
                <w:color w:val="auto"/>
                <w:sz w:val="24"/>
                <w:szCs w:val="24"/>
                <w:lang w:eastAsia="zh-CN"/>
              </w:rPr>
              <w:t>包装袋上应印制本规定第五条确定的医疗废物警示标识。</w:t>
            </w:r>
          </w:p>
          <w:p>
            <w:pPr>
              <w:widowControl/>
              <w:spacing w:line="360" w:lineRule="auto"/>
              <w:ind w:firstLine="480" w:firstLineChars="200"/>
              <w:rPr>
                <w:rFonts w:hint="eastAsia" w:ascii="宋体" w:hAnsi="宋体" w:eastAsia="宋体" w:cs="宋体"/>
                <w:color w:val="auto"/>
                <w:sz w:val="24"/>
                <w:szCs w:val="24"/>
              </w:rPr>
            </w:pPr>
          </w:p>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4952365" cy="2244090"/>
                  <wp:effectExtent l="0" t="0" r="635" b="3810"/>
                  <wp:docPr id="30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2"/>
                          <pic:cNvPicPr>
                            <a:picLocks noChangeAspect="1"/>
                          </pic:cNvPicPr>
                        </pic:nvPicPr>
                        <pic:blipFill>
                          <a:blip r:embed="rId12"/>
                          <a:stretch>
                            <a:fillRect/>
                          </a:stretch>
                        </pic:blipFill>
                        <pic:spPr>
                          <a:xfrm>
                            <a:off x="0" y="0"/>
                            <a:ext cx="4952365" cy="2244090"/>
                          </a:xfrm>
                          <a:prstGeom prst="rect">
                            <a:avLst/>
                          </a:prstGeom>
                          <a:noFill/>
                          <a:ln>
                            <a:noFill/>
                          </a:ln>
                        </pic:spPr>
                      </pic:pic>
                    </a:graphicData>
                  </a:graphic>
                </wp:inline>
              </w:drawing>
            </w:r>
          </w:p>
          <w:p>
            <w:pPr>
              <w:widowControl/>
              <w:spacing w:line="360" w:lineRule="auto"/>
              <w:ind w:firstLine="480" w:firstLineChars="2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图4-2  医疗废物</w:t>
            </w:r>
            <w:r>
              <w:rPr>
                <w:rFonts w:hint="eastAsia" w:ascii="宋体" w:hAnsi="宋体" w:eastAsia="宋体" w:cs="宋体"/>
                <w:color w:val="auto"/>
                <w:sz w:val="24"/>
                <w:szCs w:val="24"/>
              </w:rPr>
              <w:t>警示标志和警告语</w:t>
            </w:r>
            <w:r>
              <w:rPr>
                <w:rFonts w:hint="eastAsia" w:ascii="宋体" w:hAnsi="宋体" w:eastAsia="宋体" w:cs="宋体"/>
                <w:color w:val="auto"/>
                <w:sz w:val="24"/>
                <w:szCs w:val="24"/>
                <w:lang w:val="en-US" w:eastAsia="zh-CN"/>
              </w:rPr>
              <w:t>图</w:t>
            </w:r>
          </w:p>
          <w:p>
            <w:pPr>
              <w:widowControl/>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w:t>
            </w:r>
            <w:r>
              <w:rPr>
                <w:rFonts w:hint="eastAsia" w:ascii="宋体" w:hAnsi="宋体" w:cs="宋体"/>
                <w:color w:val="auto"/>
                <w:sz w:val="24"/>
                <w:szCs w:val="24"/>
                <w:lang w:eastAsia="zh-CN"/>
              </w:rPr>
              <w:t>）</w:t>
            </w:r>
            <w:r>
              <w:rPr>
                <w:rFonts w:hint="eastAsia" w:ascii="宋体" w:hAnsi="宋体" w:eastAsia="宋体" w:cs="宋体"/>
                <w:color w:val="auto"/>
                <w:sz w:val="24"/>
                <w:szCs w:val="24"/>
              </w:rPr>
              <w:t>医疗</w:t>
            </w:r>
            <w:r>
              <w:rPr>
                <w:rFonts w:hint="eastAsia" w:ascii="宋体" w:hAnsi="宋体" w:cs="宋体"/>
                <w:color w:val="auto"/>
                <w:sz w:val="24"/>
                <w:szCs w:val="24"/>
                <w:lang w:val="en-US" w:eastAsia="zh-CN"/>
              </w:rPr>
              <w:t>废物</w:t>
            </w:r>
            <w:r>
              <w:rPr>
                <w:rFonts w:hint="eastAsia" w:ascii="宋体" w:hAnsi="宋体" w:eastAsia="宋体" w:cs="宋体"/>
                <w:color w:val="auto"/>
                <w:sz w:val="24"/>
                <w:szCs w:val="24"/>
              </w:rPr>
              <w:t>及时转运：应当使用防渗漏、防遗撒的专用运送工具，按照本单位确定的内部医疗废物运送时间、路线，将医疗废物收集、运送至暂时贮存地点。转运医疗垃圾的车辆应便于装卸、防止外溢，加盖便于密闭转运，转运车辆应每日清洗与消毒。转运路线应该选择专用的污染通道，选择较偏僻、行人少、不接近食堂等高危区域的路线，并尽量选择人少的时间转运，转运过程中正确装卸，避免遗</w:t>
            </w:r>
            <w:r>
              <w:rPr>
                <w:rFonts w:hint="eastAsia" w:ascii="宋体" w:hAnsi="宋体" w:eastAsia="宋体" w:cs="宋体"/>
                <w:color w:val="auto"/>
                <w:sz w:val="24"/>
                <w:szCs w:val="24"/>
                <w:lang w:eastAsia="zh-CN"/>
              </w:rPr>
              <w:t>洒</w:t>
            </w:r>
            <w:r>
              <w:rPr>
                <w:rFonts w:hint="eastAsia" w:ascii="宋体" w:hAnsi="宋体" w:eastAsia="宋体" w:cs="宋体"/>
                <w:color w:val="auto"/>
                <w:sz w:val="24"/>
                <w:szCs w:val="24"/>
              </w:rPr>
              <w:t>。转运工作人员做好个人保护措施。</w:t>
            </w:r>
          </w:p>
          <w:p>
            <w:pPr>
              <w:adjustRightInd w:val="0"/>
              <w:snapToGrid w:val="0"/>
              <w:spacing w:line="360" w:lineRule="auto"/>
              <w:ind w:firstLine="480" w:firstLineChars="200"/>
              <w:rPr>
                <w:rFonts w:hint="default" w:ascii="Times New Roman" w:hAnsi="Times New Roman" w:cs="Times New Roman"/>
                <w:color w:val="auto"/>
                <w:sz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cs="宋体"/>
                <w:color w:val="auto"/>
                <w:sz w:val="24"/>
                <w:szCs w:val="24"/>
                <w:lang w:eastAsia="zh-CN"/>
              </w:rPr>
              <w:t>）</w:t>
            </w:r>
            <w:r>
              <w:rPr>
                <w:rFonts w:hint="eastAsia" w:ascii="宋体" w:hAnsi="宋体" w:eastAsia="宋体" w:cs="宋体"/>
                <w:color w:val="auto"/>
                <w:sz w:val="24"/>
                <w:szCs w:val="24"/>
              </w:rPr>
              <w:t>医疗</w:t>
            </w:r>
            <w:r>
              <w:rPr>
                <w:rFonts w:hint="eastAsia" w:ascii="宋体" w:hAnsi="宋体" w:cs="宋体"/>
                <w:color w:val="auto"/>
                <w:sz w:val="24"/>
                <w:szCs w:val="24"/>
                <w:lang w:val="en-US" w:eastAsia="zh-CN"/>
              </w:rPr>
              <w:t>废物</w:t>
            </w:r>
            <w:r>
              <w:rPr>
                <w:rFonts w:hint="eastAsia" w:ascii="宋体" w:hAnsi="宋体" w:eastAsia="宋体" w:cs="宋体"/>
                <w:color w:val="auto"/>
                <w:sz w:val="24"/>
                <w:szCs w:val="24"/>
              </w:rPr>
              <w:t>暂存：</w:t>
            </w:r>
            <w:r>
              <w:rPr>
                <w:rFonts w:hint="default" w:ascii="Times New Roman" w:hAnsi="Times New Roman" w:cs="Times New Roman"/>
                <w:color w:val="auto"/>
                <w:sz w:val="24"/>
              </w:rPr>
              <w:t>根据《医疗废物集中处置技术规范（试行）》规定，本项目建立的专门的医疗废物暂存间应满足下述要求：</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a.必须与医疗区和人员活动密集区隔开，方便医疗废物的装卸、装卸人员及运送车辆的出入。</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b.应有严密的封闭措施，设专人管理，避免非工作人员进出，以及防鼠、防蚊蝇、防蟑螂、防盗以及预防儿童接触等安全措施。</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c.地面和1.0米高的墙裙须进行防渗处理，地面有良好的排水性能，易于清洁和消毒，</w:t>
            </w:r>
            <w:r>
              <w:rPr>
                <w:rFonts w:hint="eastAsia" w:ascii="Times New Roman" w:hAnsi="Times New Roman" w:cs="Times New Roman"/>
                <w:color w:val="auto"/>
                <w:sz w:val="24"/>
                <w:lang w:eastAsia="zh-CN"/>
              </w:rPr>
              <w:t>医疗废物暂存间</w:t>
            </w:r>
            <w:r>
              <w:rPr>
                <w:rFonts w:hint="default" w:ascii="Times New Roman" w:hAnsi="Times New Roman" w:cs="Times New Roman"/>
                <w:color w:val="auto"/>
                <w:sz w:val="24"/>
              </w:rPr>
              <w:t>防渗参照《危险废物贮存污染控制标准》（GB18597-20</w:t>
            </w:r>
            <w:r>
              <w:rPr>
                <w:rFonts w:hint="eastAsia" w:ascii="Times New Roman" w:hAnsi="Times New Roman" w:cs="Times New Roman"/>
                <w:color w:val="auto"/>
                <w:sz w:val="24"/>
                <w:lang w:val="en-US" w:eastAsia="zh-CN"/>
              </w:rPr>
              <w:t>23</w:t>
            </w:r>
            <w:r>
              <w:rPr>
                <w:rFonts w:hint="default" w:ascii="Times New Roman" w:hAnsi="Times New Roman" w:cs="Times New Roman"/>
                <w:color w:val="auto"/>
                <w:sz w:val="24"/>
              </w:rPr>
              <w:t>）的要求进行防渗设计，</w:t>
            </w:r>
            <w:r>
              <w:rPr>
                <w:rFonts w:hint="default" w:ascii="Times New Roman" w:hAnsi="Times New Roman" w:eastAsia="宋体" w:cs="Times New Roman"/>
                <w:b w:val="0"/>
                <w:bCs w:val="0"/>
                <w:color w:val="auto"/>
                <w:sz w:val="24"/>
                <w:szCs w:val="24"/>
                <w:lang w:val="en-US" w:eastAsia="zh-CN"/>
              </w:rPr>
              <w:t>危废暂存间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1m厚黏土层（渗透系数不大于10</w:t>
            </w:r>
            <w:r>
              <w:rPr>
                <w:rFonts w:hint="default" w:ascii="Times New Roman" w:hAnsi="Times New Roman" w:eastAsia="宋体" w:cs="Times New Roman"/>
                <w:b w:val="0"/>
                <w:bCs w:val="0"/>
                <w:color w:val="auto"/>
                <w:sz w:val="24"/>
                <w:szCs w:val="24"/>
                <w:vertAlign w:val="superscript"/>
                <w:lang w:val="en-US" w:eastAsia="zh-CN"/>
              </w:rPr>
              <w:t>-7</w:t>
            </w:r>
            <w:r>
              <w:rPr>
                <w:rFonts w:hint="default" w:ascii="Times New Roman" w:hAnsi="Times New Roman" w:eastAsia="宋体" w:cs="Times New Roman"/>
                <w:b w:val="0"/>
                <w:bCs w:val="0"/>
                <w:color w:val="auto"/>
                <w:sz w:val="24"/>
                <w:szCs w:val="24"/>
                <w:lang w:val="en-US" w:eastAsia="zh-CN"/>
              </w:rPr>
              <w:t>cm/s)，或至少2mm厚高密度聚乙烯膜等人工防渗材料（渗透系数不大于10</w:t>
            </w:r>
            <w:r>
              <w:rPr>
                <w:rFonts w:hint="default" w:ascii="Times New Roman" w:hAnsi="Times New Roman" w:eastAsia="宋体" w:cs="Times New Roman"/>
                <w:b w:val="0"/>
                <w:bCs w:val="0"/>
                <w:color w:val="auto"/>
                <w:sz w:val="24"/>
                <w:szCs w:val="24"/>
                <w:vertAlign w:val="superscript"/>
                <w:lang w:val="en-US" w:eastAsia="zh-CN"/>
              </w:rPr>
              <w:t>-10</w:t>
            </w:r>
            <w:r>
              <w:rPr>
                <w:rFonts w:hint="default" w:ascii="Times New Roman" w:hAnsi="Times New Roman" w:eastAsia="宋体" w:cs="Times New Roman"/>
                <w:b w:val="0"/>
                <w:bCs w:val="0"/>
                <w:color w:val="auto"/>
                <w:sz w:val="24"/>
                <w:szCs w:val="24"/>
                <w:lang w:val="en-US" w:eastAsia="zh-CN"/>
              </w:rPr>
              <w:t>cm/s)，或其他防渗性能等效的材料。</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d.避免阳光直射暂存间内，应有良好的照明设备和通风条件。</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e.暂存间内应张贴“禁止吸烟、饮食”的警示标识；</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f.应按GB15562.2和卫生、环保部门制定的专用医疗废物警示标识要求，在暂存间外的明显处同时设置危险废物和医疗废物的警示标识。</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g.医院应对医疗废物进行登记，登记内容应当包括医疗废物的来源、种类、重量或者数量、交接时间、处置方法、最终去向以及经办人签名等项，登记资料至少保存5年。</w:t>
            </w:r>
            <w:r>
              <w:rPr>
                <w:rFonts w:hint="default" w:ascii="Times New Roman" w:hAnsi="Times New Roman" w:cs="Times New Roman"/>
                <w:color w:val="auto"/>
                <w:sz w:val="24"/>
              </w:rPr>
              <w:t>医院送医疗垃圾到医疗废物处置中心时需要按照《中华人民共和国固体废物污染环境防治法》的规定执行危险废物转移联单管理制度。禁止医疗废物和生活垃圾混合堆存。感染性废物、病理性废物、损伤性废物、药物性废物、化学性废物分别放置，在暂存间内</w:t>
            </w:r>
            <w:r>
              <w:rPr>
                <w:rFonts w:hint="eastAsia" w:ascii="Times New Roman" w:hAnsi="Times New Roman" w:cs="Times New Roman"/>
                <w:color w:val="auto"/>
                <w:sz w:val="24"/>
                <w:lang w:val="en-US" w:eastAsia="zh-CN"/>
              </w:rPr>
              <w:t>分开封闭</w:t>
            </w:r>
            <w:r>
              <w:rPr>
                <w:rFonts w:hint="default" w:ascii="Times New Roman" w:hAnsi="Times New Roman" w:cs="Times New Roman"/>
                <w:color w:val="auto"/>
                <w:sz w:val="24"/>
              </w:rPr>
              <w:t xml:space="preserve">暂存。 </w:t>
            </w:r>
          </w:p>
          <w:p>
            <w:pPr>
              <w:widowControl/>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医疗废物的交接：医疗废物运送人员在接收医疗废物时，应外观检查医疗卫生机构是否按规定进行包装、标识，并盛装于周转箱内，不得打开包装袋取出医疗废物。对包装破损、包装外表污染或未盛装于周转箱内的医疗废物，医疗废物运送人员应当要求医疗卫生机构重新包装、标识，并盛装于周转箱内。拒不按规定对医疗废物进行包装的，运送人员有权拒绝运送，并向当地环保部门报告。</w:t>
            </w:r>
          </w:p>
          <w:p>
            <w:pPr>
              <w:widowControl/>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化学性医疗废物应由医疗卫生机构委托有经营资格的危险废物处置单位处置，未取得相应许可的处置单位医疗废物运送人员不得接收化学性医疗废物。</w:t>
            </w:r>
          </w:p>
          <w:p>
            <w:pPr>
              <w:widowControl/>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医疗卫生机构交予处置的废物采用危险废物转移联单管理。设区的环保部门对医疗废物转移计划进行审批。转移计划批准后，医疗废物产生单位和处置单位的日常医疗废物交接可采用简化的《危险废物转移联单》（医疗废物专用）。在医疗卫生机构、处置单位及运送方式变化后，应对医疗废物转移计划进行重新审批。《危险废物转移联单》（医疗废物专用）一式两份，每月一张，由处置单位医疗废物运送人员和医疗卫生机构医疗废物管理人员交接时共同填写，医疗卫生机构和处置单位分别保存，保存时间为5年。每车每次运送的医疗废物采用《医疗废物运送登记卡》管理，一车一卡，由医疗卫生机构医疗废物管理人员交接时填写并签字。当医疗废物运至处置单位时，处置厂接收人员确认该登记卡上填写的医疗废物数量真实、准确后签收。</w:t>
            </w:r>
          </w:p>
          <w:p>
            <w:pPr>
              <w:widowControl/>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9</w:t>
            </w:r>
            <w:r>
              <w:rPr>
                <w:rFonts w:hint="eastAsia" w:ascii="宋体" w:hAnsi="宋体" w:cs="宋体"/>
                <w:color w:val="auto"/>
                <w:sz w:val="24"/>
                <w:szCs w:val="24"/>
                <w:lang w:eastAsia="zh-CN"/>
              </w:rPr>
              <w:t>）</w:t>
            </w:r>
            <w:r>
              <w:rPr>
                <w:rFonts w:hint="eastAsia" w:ascii="宋体" w:hAnsi="宋体" w:eastAsia="宋体" w:cs="宋体"/>
                <w:color w:val="auto"/>
                <w:sz w:val="24"/>
                <w:szCs w:val="24"/>
              </w:rPr>
              <w:t>规范处置方式：根据《云南省环境保护厅和云南省卫生和计划生育委员会文件》（云环通【2016】155号）关于医疗废物处理的相关规定和要求。医疗废物应当符合下列处置基本要求：使用后的一次性医疗器具和容易</w:t>
            </w:r>
            <w:r>
              <w:rPr>
                <w:rFonts w:hint="eastAsia" w:ascii="宋体" w:hAnsi="宋体" w:eastAsia="宋体" w:cs="宋体"/>
                <w:color w:val="auto"/>
                <w:sz w:val="24"/>
                <w:szCs w:val="24"/>
                <w:lang w:eastAsia="zh-CN"/>
              </w:rPr>
              <w:t>致</w:t>
            </w:r>
            <w:r>
              <w:rPr>
                <w:rFonts w:hint="eastAsia" w:ascii="宋体" w:hAnsi="宋体" w:eastAsia="宋体" w:cs="宋体"/>
                <w:color w:val="auto"/>
                <w:sz w:val="24"/>
                <w:szCs w:val="24"/>
              </w:rPr>
              <w:t>人损伤的医疗废物，应当立即消毒并做毁形处理；能够焚烧的，应当及时焚烧；不能焚烧的，消毒后集中填埋。使用后的各种玻璃（一次性塑料）输液瓶（袋），未被病人血液、体液、排泄物污染的，按照《关于明确医疗废物分类有关问题的通知》（卫办医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2005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292号）要求，不属于医疗废物，不必按照医疗废物进行管理，但这类废物回收利用时不能用于原用途，用于其他用途时应符合不危害人体健康的原则。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事故应急措施：发生医疗废物流失、泄漏、扩散和意外事故时，应当按照以下要求及时采取紧急处理措施：确定流失、泄漏、扩散的医疗废物的类别、数量、发生时间、影响范围及严重程度；组织有关人员尽快按照应急方案，对发生医疗废物泄漏、扩散的现场进行处理；对被医疗废物污染的区域进行处理时，应当尽可能减少对病人、医务人员、其他现场人员及环境的影响；采取适当的安全处置措施，对泄漏物及受污染的区域、物品进行消毒或者其他无害化处置，必要时封锁污染区域，以防扩大污染；对感染性废物污染区域进行消毒时，消毒工作从污染最轻区域向污染最严重区域进行，对可能被污染的所有使用过的工具也应当进行消毒；工作人员应当做好卫生安全防护后进行工作。处理工作结束后，医疗卫生机构应当对时间的起因进行调查，并采取有效的防范措施预防类似事件的发生。</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4、污泥监测计划</w:t>
            </w:r>
          </w:p>
          <w:p>
            <w:pPr>
              <w:pStyle w:val="28"/>
              <w:jc w:val="both"/>
              <w:rPr>
                <w:rFonts w:hint="eastAsia" w:ascii="宋体" w:hAnsi="宋体" w:eastAsia="宋体" w:cs="宋体"/>
                <w:color w:val="auto"/>
                <w:sz w:val="24"/>
                <w:szCs w:val="24"/>
              </w:rPr>
            </w:pPr>
            <w:r>
              <w:rPr>
                <w:rFonts w:hint="eastAsia" w:ascii="宋体" w:hAnsi="宋体" w:eastAsia="宋体" w:cs="宋体"/>
                <w:color w:val="auto"/>
                <w:sz w:val="24"/>
                <w:szCs w:val="24"/>
              </w:rPr>
              <w:t>根据《医疗机构水污染物排放标准》（GB18466-2005）中污泥清运前应进行监测。</w:t>
            </w:r>
          </w:p>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表4-</w:t>
            </w:r>
            <w:r>
              <w:rPr>
                <w:rFonts w:hint="eastAsia" w:ascii="黑体" w:hAnsi="黑体" w:eastAsia="黑体" w:cs="黑体"/>
                <w:color w:val="auto"/>
                <w:sz w:val="21"/>
                <w:szCs w:val="21"/>
                <w:lang w:val="en-US" w:eastAsia="zh-CN"/>
              </w:rPr>
              <w:t>13</w:t>
            </w:r>
            <w:r>
              <w:rPr>
                <w:rFonts w:hint="eastAsia" w:ascii="黑体" w:hAnsi="黑体" w:eastAsia="黑体" w:cs="黑体"/>
                <w:color w:val="auto"/>
                <w:sz w:val="21"/>
                <w:szCs w:val="21"/>
              </w:rPr>
              <w:t xml:space="preserve">  项目污泥清掏前监测计划一览表</w:t>
            </w:r>
          </w:p>
          <w:tbl>
            <w:tblPr>
              <w:tblStyle w:val="26"/>
              <w:tblW w:w="8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388"/>
              <w:gridCol w:w="2150"/>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3" w:type="dxa"/>
                  <w:vAlign w:val="center"/>
                </w:tcPr>
                <w:p>
                  <w:pPr>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监测点位</w:t>
                  </w:r>
                </w:p>
              </w:tc>
              <w:tc>
                <w:tcPr>
                  <w:tcW w:w="1388" w:type="dxa"/>
                  <w:vAlign w:val="center"/>
                </w:tcPr>
                <w:p>
                  <w:pPr>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监测项目</w:t>
                  </w:r>
                </w:p>
              </w:tc>
              <w:tc>
                <w:tcPr>
                  <w:tcW w:w="2150" w:type="dxa"/>
                  <w:vAlign w:val="center"/>
                </w:tcPr>
                <w:p>
                  <w:pPr>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监测方法及频率</w:t>
                  </w:r>
                </w:p>
              </w:tc>
              <w:tc>
                <w:tcPr>
                  <w:tcW w:w="2793" w:type="dxa"/>
                  <w:vAlign w:val="center"/>
                </w:tcPr>
                <w:p>
                  <w:pPr>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1763"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污水处理站污泥、化粪池污泥及栅渣</w:t>
                  </w:r>
                </w:p>
              </w:tc>
              <w:tc>
                <w:tcPr>
                  <w:tcW w:w="1388"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粪大肠菌群数、蛔虫卵死亡率</w:t>
                  </w:r>
                </w:p>
              </w:tc>
              <w:tc>
                <w:tcPr>
                  <w:tcW w:w="2150"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每次清运前，按照国家相关监测技术方法进行监测</w:t>
                  </w:r>
                </w:p>
              </w:tc>
              <w:tc>
                <w:tcPr>
                  <w:tcW w:w="2793"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《医疗机构水污染物排放标准》（GB18466-2005）表4医疗机构污泥控制标准</w:t>
                  </w:r>
                </w:p>
              </w:tc>
            </w:tr>
          </w:tbl>
          <w:p>
            <w:pPr>
              <w:pStyle w:val="12"/>
              <w:spacing w:line="360" w:lineRule="auto"/>
              <w:ind w:firstLine="482" w:firstLineChars="200"/>
              <w:rPr>
                <w:b/>
                <w:bCs/>
                <w:color w:val="auto"/>
                <w:szCs w:val="24"/>
              </w:rPr>
            </w:pPr>
            <w:r>
              <w:rPr>
                <w:rFonts w:hint="eastAsia" w:ascii="宋体" w:cs="宋体"/>
                <w:b/>
                <w:bCs/>
                <w:color w:val="auto"/>
                <w:szCs w:val="24"/>
              </w:rPr>
              <w:t>5、化粪池污泥、一体化污水处理设备污泥和栅渣管理要求</w:t>
            </w:r>
          </w:p>
          <w:p>
            <w:pPr>
              <w:pStyle w:val="30"/>
              <w:rPr>
                <w:color w:val="auto"/>
                <w:sz w:val="24"/>
                <w:lang w:val="en-US"/>
              </w:rPr>
            </w:pPr>
            <w:r>
              <w:rPr>
                <w:rFonts w:hint="eastAsia"/>
                <w:color w:val="auto"/>
                <w:sz w:val="24"/>
              </w:rPr>
              <w:t>根据《医院污水处理工程技术规范》（</w:t>
            </w:r>
            <w:r>
              <w:rPr>
                <w:rFonts w:hint="eastAsia"/>
                <w:color w:val="auto"/>
                <w:sz w:val="24"/>
                <w:lang w:val="en-US"/>
              </w:rPr>
              <w:t>HJ2029-2013</w:t>
            </w:r>
            <w:r>
              <w:rPr>
                <w:rFonts w:hint="eastAsia"/>
                <w:color w:val="auto"/>
                <w:sz w:val="24"/>
              </w:rPr>
              <w:t>）中</w:t>
            </w:r>
            <w:r>
              <w:rPr>
                <w:rFonts w:hint="eastAsia"/>
                <w:color w:val="auto"/>
                <w:sz w:val="24"/>
                <w:lang w:val="en-US"/>
              </w:rPr>
              <w:t>6.3.5污泥处理处置，管理要求如下：</w:t>
            </w:r>
          </w:p>
          <w:p>
            <w:pPr>
              <w:pStyle w:val="30"/>
              <w:rPr>
                <w:rFonts w:hint="eastAsia"/>
                <w:color w:val="auto"/>
                <w:sz w:val="24"/>
              </w:rPr>
            </w:pPr>
            <w:r>
              <w:rPr>
                <w:rFonts w:hint="eastAsia"/>
                <w:color w:val="auto"/>
                <w:sz w:val="24"/>
              </w:rPr>
              <w:t>（</w:t>
            </w:r>
            <w:r>
              <w:rPr>
                <w:rFonts w:hint="eastAsia"/>
                <w:color w:val="auto"/>
                <w:sz w:val="24"/>
                <w:lang w:val="en-US"/>
              </w:rPr>
              <w:t>1</w:t>
            </w:r>
            <w:r>
              <w:rPr>
                <w:rFonts w:hint="eastAsia"/>
                <w:color w:val="auto"/>
                <w:sz w:val="24"/>
              </w:rPr>
              <w:t>）污泥消毒</w:t>
            </w:r>
          </w:p>
          <w:p>
            <w:pPr>
              <w:pStyle w:val="30"/>
              <w:rPr>
                <w:rFonts w:hint="eastAsia"/>
                <w:color w:val="auto"/>
                <w:sz w:val="24"/>
              </w:rPr>
            </w:pPr>
            <w:r>
              <w:rPr>
                <w:rFonts w:hint="eastAsia"/>
                <w:color w:val="auto"/>
                <w:sz w:val="24"/>
                <w:lang w:val="en-US"/>
              </w:rPr>
              <w:t>A、</w:t>
            </w:r>
            <w:r>
              <w:rPr>
                <w:rFonts w:hint="eastAsia"/>
                <w:color w:val="auto"/>
                <w:sz w:val="24"/>
              </w:rPr>
              <w:t>污泥在污泥池中进行消毒，污泥池有效容积应不小于处理系统24h产泥量，且不宜小于1m</w:t>
            </w:r>
            <w:r>
              <w:rPr>
                <w:rFonts w:hint="eastAsia"/>
                <w:color w:val="auto"/>
                <w:sz w:val="24"/>
                <w:vertAlign w:val="superscript"/>
                <w:lang w:val="en-US"/>
              </w:rPr>
              <w:t>3</w:t>
            </w:r>
            <w:r>
              <w:rPr>
                <w:rFonts w:hint="eastAsia"/>
                <w:color w:val="auto"/>
                <w:sz w:val="24"/>
              </w:rPr>
              <w:t>。污泥池内需采取搅拌措施，以利于污泥加药消毒。.</w:t>
            </w:r>
          </w:p>
          <w:p>
            <w:pPr>
              <w:spacing w:line="360" w:lineRule="auto"/>
              <w:ind w:firstLine="480" w:firstLineChars="200"/>
              <w:rPr>
                <w:rFonts w:hint="eastAsia" w:ascii="宋体" w:hAnsi="宋体" w:eastAsia="宋体" w:cs="宋体"/>
                <w:b/>
                <w:bCs/>
                <w:color w:val="auto"/>
                <w:sz w:val="24"/>
                <w:szCs w:val="24"/>
                <w:lang w:val="en-US" w:eastAsia="zh-CN"/>
              </w:rPr>
            </w:pPr>
            <w:r>
              <w:rPr>
                <w:rFonts w:hint="eastAsia"/>
                <w:color w:val="auto"/>
                <w:sz w:val="24"/>
                <w:lang w:val="en-US"/>
              </w:rPr>
              <w:t>B、</w:t>
            </w:r>
            <w:r>
              <w:rPr>
                <w:rFonts w:hint="eastAsia"/>
                <w:color w:val="auto"/>
                <w:sz w:val="24"/>
              </w:rPr>
              <w:t>污泥消毒一般采用化学消毒方式。常用的消毒药剂为石灰和漂白粉。采用石灰消毒，石灰投量约为15g/L污泥，使pH为11~12，搅拌均匀接触30~60 min,并存放7天以上。采用漂白粉消毒，漂白粉投加量约为泥量的10~15%。条件允许，可采用紫外线辐照消毒。</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6</w:t>
            </w:r>
            <w:r>
              <w:rPr>
                <w:rFonts w:hint="eastAsia" w:ascii="宋体" w:hAnsi="宋体" w:eastAsia="宋体" w:cs="宋体"/>
                <w:b/>
                <w:bCs/>
                <w:color w:val="auto"/>
                <w:sz w:val="24"/>
                <w:szCs w:val="24"/>
              </w:rPr>
              <w:t>、结论</w:t>
            </w:r>
          </w:p>
          <w:p>
            <w:pPr>
              <w:adjustRightInd w:val="0"/>
              <w:snapToGrid w:val="0"/>
              <w:spacing w:line="360" w:lineRule="auto"/>
              <w:ind w:firstLine="480" w:firstLineChars="200"/>
              <w:rPr>
                <w:rFonts w:hint="eastAsia" w:ascii="宋体" w:hAnsi="宋体" w:eastAsia="宋体" w:cs="宋体"/>
                <w:b/>
                <w:bCs/>
                <w:color w:val="auto"/>
                <w:sz w:val="24"/>
                <w:szCs w:val="24"/>
                <w:lang w:val="en-US" w:eastAsia="zh-CN"/>
              </w:rPr>
            </w:pPr>
            <w:r>
              <w:rPr>
                <w:rFonts w:hint="eastAsia" w:ascii="宋体" w:hAnsi="宋体" w:eastAsia="宋体" w:cs="宋体"/>
                <w:color w:val="auto"/>
                <w:kern w:val="0"/>
                <w:sz w:val="24"/>
                <w:szCs w:val="24"/>
                <w:lang w:bidi="ar"/>
              </w:rPr>
              <w:t>综上所述，项目运营期间产生固体废物均能得到合理处置，固废处置率为100%。</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4.2.6</w:t>
            </w:r>
            <w:r>
              <w:rPr>
                <w:rFonts w:hint="eastAsia" w:ascii="宋体" w:hAnsi="宋体" w:eastAsia="宋体" w:cs="宋体"/>
                <w:b/>
                <w:bCs/>
                <w:color w:val="auto"/>
                <w:sz w:val="24"/>
                <w:szCs w:val="24"/>
              </w:rPr>
              <w:t>风险分析</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建设项目环境风险评价技术导则》（HJ169-2018）可知，环境风险评价应以突发性事故导致的危险物质环境应急损害防控为目标，对建设项目的环境风险进行分析、预测和评估，提出环境风险预防、控制、减缓措施，明确环境风险及应急建议要求，为建设项目环境风险防控提供科学依据。</w:t>
            </w:r>
          </w:p>
          <w:p>
            <w:pPr>
              <w:bidi w:val="0"/>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1、建设项目风险源调查</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根据《建设项目环境风险评价技术导则》（HJ169-2018）附录B对本项目所涉及的有毒有害、易燃易爆物质、助燃危险品进行危险性识别和综合评价。本项目涉及的危险物质为</w:t>
            </w:r>
            <w:r>
              <w:rPr>
                <w:rFonts w:hint="eastAsia" w:ascii="宋体" w:hAnsi="宋体" w:cs="宋体"/>
                <w:color w:val="auto"/>
                <w:kern w:val="0"/>
                <w:sz w:val="24"/>
                <w:szCs w:val="24"/>
                <w:lang w:val="en-US" w:eastAsia="zh-CN" w:bidi="ar"/>
              </w:rPr>
              <w:t>酒精</w:t>
            </w:r>
            <w:r>
              <w:rPr>
                <w:rFonts w:hint="eastAsia" w:ascii="宋体" w:hAnsi="宋体" w:eastAsia="宋体" w:cs="宋体"/>
                <w:color w:val="auto"/>
                <w:kern w:val="0"/>
                <w:sz w:val="24"/>
                <w:szCs w:val="24"/>
                <w:lang w:val="en-US" w:eastAsia="zh-CN" w:bidi="ar"/>
              </w:rPr>
              <w:t>、氧气、含氯消毒片（三氯异氰尿酸）、柴油</w:t>
            </w:r>
            <w:r>
              <w:rPr>
                <w:rFonts w:hint="eastAsia" w:ascii="宋体" w:hAnsi="宋体" w:cs="宋体"/>
                <w:color w:val="auto"/>
                <w:kern w:val="0"/>
                <w:sz w:val="24"/>
                <w:szCs w:val="24"/>
                <w:lang w:val="en-US" w:eastAsia="zh-CN" w:bidi="ar"/>
              </w:rPr>
              <w:t>及污水处理系统产生的氨、硫化氢</w:t>
            </w:r>
            <w:r>
              <w:rPr>
                <w:rFonts w:hint="eastAsia" w:ascii="宋体" w:hAnsi="宋体" w:eastAsia="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由于氨及硫化氢产生量极少且呈无组织排放，不纳入风险源计算。</w:t>
            </w:r>
            <w:r>
              <w:rPr>
                <w:rFonts w:hint="eastAsia" w:ascii="宋体" w:hAnsi="宋体" w:eastAsia="宋体" w:cs="宋体"/>
                <w:color w:val="auto"/>
                <w:kern w:val="0"/>
                <w:sz w:val="24"/>
                <w:szCs w:val="24"/>
                <w:lang w:val="en-US" w:eastAsia="zh-CN" w:bidi="ar"/>
              </w:rPr>
              <w:t>基本情况见下表。</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w:hAnsi="黑体" w:eastAsia="黑体" w:cs="黑体"/>
                <w:b w:val="0"/>
                <w:bCs w:val="0"/>
                <w:color w:val="auto"/>
                <w:kern w:val="0"/>
                <w:sz w:val="21"/>
                <w:szCs w:val="21"/>
                <w:lang w:val="en-US" w:eastAsia="zh-CN" w:bidi="ar"/>
              </w:rPr>
            </w:pPr>
            <w:r>
              <w:rPr>
                <w:rFonts w:hint="eastAsia" w:ascii="黑体" w:hAnsi="黑体" w:eastAsia="黑体" w:cs="黑体"/>
                <w:b w:val="0"/>
                <w:bCs w:val="0"/>
                <w:color w:val="auto"/>
                <w:kern w:val="0"/>
                <w:sz w:val="21"/>
                <w:szCs w:val="21"/>
                <w:lang w:val="en-US" w:eastAsia="zh-CN" w:bidi="ar"/>
              </w:rPr>
              <w:t>表4-14  项目风险源基本情况</w:t>
            </w:r>
          </w:p>
          <w:tbl>
            <w:tblPr>
              <w:tblStyle w:val="27"/>
              <w:tblW w:w="7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125"/>
              <w:gridCol w:w="1400"/>
              <w:gridCol w:w="1013"/>
              <w:gridCol w:w="141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144"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名称</w:t>
                  </w:r>
                </w:p>
              </w:tc>
              <w:tc>
                <w:tcPr>
                  <w:tcW w:w="1125"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CAS号</w:t>
                  </w:r>
                </w:p>
              </w:tc>
              <w:tc>
                <w:tcPr>
                  <w:tcW w:w="1400"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最大存储量（t）</w:t>
                  </w:r>
                </w:p>
              </w:tc>
              <w:tc>
                <w:tcPr>
                  <w:tcW w:w="1013"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临界值</w:t>
                  </w:r>
                </w:p>
              </w:tc>
              <w:tc>
                <w:tcPr>
                  <w:tcW w:w="1412"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储存方式</w:t>
                  </w:r>
                </w:p>
              </w:tc>
              <w:tc>
                <w:tcPr>
                  <w:tcW w:w="1455"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144"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柴油</w:t>
                  </w:r>
                </w:p>
              </w:tc>
              <w:tc>
                <w:tcPr>
                  <w:tcW w:w="1125"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68334-30-5</w:t>
                  </w:r>
                </w:p>
              </w:tc>
              <w:tc>
                <w:tcPr>
                  <w:tcW w:w="1400"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color w:val="auto"/>
                      <w:sz w:val="18"/>
                      <w:szCs w:val="18"/>
                      <w:lang w:val="en-US" w:eastAsia="zh-CN"/>
                    </w:rPr>
                    <w:t>0.162</w:t>
                  </w:r>
                </w:p>
              </w:tc>
              <w:tc>
                <w:tcPr>
                  <w:tcW w:w="1013"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2500</w:t>
                  </w:r>
                </w:p>
              </w:tc>
              <w:tc>
                <w:tcPr>
                  <w:tcW w:w="1412"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专用油桶</w:t>
                  </w:r>
                </w:p>
              </w:tc>
              <w:tc>
                <w:tcPr>
                  <w:tcW w:w="1455"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备用发电机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144"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氧气</w:t>
                  </w:r>
                </w:p>
              </w:tc>
              <w:tc>
                <w:tcPr>
                  <w:tcW w:w="1125"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7782-44-7</w:t>
                  </w:r>
                </w:p>
              </w:tc>
              <w:tc>
                <w:tcPr>
                  <w:tcW w:w="1400"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color w:val="auto"/>
                      <w:sz w:val="18"/>
                      <w:szCs w:val="18"/>
                      <w:lang w:val="en-US" w:eastAsia="zh-CN"/>
                    </w:rPr>
                    <w:t>0.000157t</w:t>
                  </w:r>
                </w:p>
              </w:tc>
              <w:tc>
                <w:tcPr>
                  <w:tcW w:w="1013"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w:t>
                  </w:r>
                </w:p>
              </w:tc>
              <w:tc>
                <w:tcPr>
                  <w:tcW w:w="1412"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氧气储存罐</w:t>
                  </w:r>
                </w:p>
              </w:tc>
              <w:tc>
                <w:tcPr>
                  <w:tcW w:w="1455"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医疗救护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144" w:type="dxa"/>
                  <w:vAlign w:val="center"/>
                </w:tcPr>
                <w:p>
                  <w:pPr>
                    <w:keepNext w:val="0"/>
                    <w:keepLines w:val="0"/>
                    <w:widowControl/>
                    <w:numPr>
                      <w:ilvl w:val="0"/>
                      <w:numId w:val="0"/>
                    </w:numPr>
                    <w:suppressLineNumbers w:val="0"/>
                    <w:spacing w:line="240" w:lineRule="auto"/>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酒精</w:t>
                  </w:r>
                </w:p>
              </w:tc>
              <w:tc>
                <w:tcPr>
                  <w:tcW w:w="1125" w:type="dxa"/>
                  <w:vAlign w:val="center"/>
                </w:tcPr>
                <w:p>
                  <w:pPr>
                    <w:keepNext w:val="0"/>
                    <w:keepLines w:val="0"/>
                    <w:widowControl/>
                    <w:numPr>
                      <w:ilvl w:val="0"/>
                      <w:numId w:val="0"/>
                    </w:numPr>
                    <w:suppressLineNumbers w:val="0"/>
                    <w:spacing w:line="240" w:lineRule="auto"/>
                    <w:ind w:left="0" w:leftChars="0" w:firstLine="0" w:firstLineChars="0"/>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64-17-5</w:t>
                  </w:r>
                </w:p>
              </w:tc>
              <w:tc>
                <w:tcPr>
                  <w:tcW w:w="1400" w:type="dxa"/>
                  <w:vAlign w:val="center"/>
                </w:tcPr>
                <w:p>
                  <w:pPr>
                    <w:keepNext w:val="0"/>
                    <w:keepLines w:val="0"/>
                    <w:widowControl/>
                    <w:numPr>
                      <w:ilvl w:val="0"/>
                      <w:numId w:val="0"/>
                    </w:numPr>
                    <w:suppressLineNumbers w:val="0"/>
                    <w:spacing w:line="240" w:lineRule="auto"/>
                    <w:ind w:left="0" w:leftChars="0" w:firstLine="0" w:firstLineChars="0"/>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color w:val="auto"/>
                      <w:sz w:val="18"/>
                      <w:szCs w:val="18"/>
                      <w:lang w:val="en-US" w:eastAsia="zh-CN"/>
                    </w:rPr>
                    <w:t>0.561t</w:t>
                  </w:r>
                </w:p>
              </w:tc>
              <w:tc>
                <w:tcPr>
                  <w:tcW w:w="1013" w:type="dxa"/>
                  <w:vAlign w:val="center"/>
                </w:tcPr>
                <w:p>
                  <w:pPr>
                    <w:keepNext w:val="0"/>
                    <w:keepLines w:val="0"/>
                    <w:widowControl/>
                    <w:numPr>
                      <w:ilvl w:val="0"/>
                      <w:numId w:val="0"/>
                    </w:numPr>
                    <w:suppressLineNumbers w:val="0"/>
                    <w:spacing w:line="240" w:lineRule="auto"/>
                    <w:ind w:left="0" w:leftChars="0" w:firstLine="0" w:firstLineChars="0"/>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500</w:t>
                  </w:r>
                </w:p>
              </w:tc>
              <w:tc>
                <w:tcPr>
                  <w:tcW w:w="1412" w:type="dxa"/>
                  <w:vAlign w:val="center"/>
                </w:tcPr>
                <w:p>
                  <w:pPr>
                    <w:bidi w:val="0"/>
                    <w:spacing w:line="240" w:lineRule="auto"/>
                    <w:ind w:firstLine="0" w:firstLineChars="0"/>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color w:val="auto"/>
                      <w:sz w:val="18"/>
                      <w:szCs w:val="18"/>
                      <w:vertAlign w:val="baseline"/>
                      <w:lang w:val="en-US" w:eastAsia="zh-CN"/>
                    </w:rPr>
                    <w:t>专用储罐</w:t>
                  </w:r>
                </w:p>
              </w:tc>
              <w:tc>
                <w:tcPr>
                  <w:tcW w:w="1455" w:type="dxa"/>
                  <w:vAlign w:val="center"/>
                </w:tcPr>
                <w:p>
                  <w:pPr>
                    <w:bidi w:val="0"/>
                    <w:spacing w:line="240" w:lineRule="auto"/>
                    <w:ind w:firstLine="0" w:firstLineChars="0"/>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医用消毒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144" w:type="dxa"/>
                  <w:vAlign w:val="center"/>
                </w:tcPr>
                <w:p>
                  <w:pPr>
                    <w:keepNext w:val="0"/>
                    <w:keepLines w:val="0"/>
                    <w:widowControl/>
                    <w:numPr>
                      <w:ilvl w:val="0"/>
                      <w:numId w:val="0"/>
                    </w:numPr>
                    <w:suppressLineNumbers w:val="0"/>
                    <w:spacing w:line="240" w:lineRule="auto"/>
                    <w:ind w:left="0" w:leftChars="0" w:firstLine="0" w:firstLineChars="0"/>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含氯消毒片（三氯异氰尿酸）</w:t>
                  </w:r>
                </w:p>
              </w:tc>
              <w:tc>
                <w:tcPr>
                  <w:tcW w:w="1125" w:type="dxa"/>
                  <w:vAlign w:val="center"/>
                </w:tcPr>
                <w:p>
                  <w:pPr>
                    <w:keepNext w:val="0"/>
                    <w:keepLines w:val="0"/>
                    <w:widowControl/>
                    <w:numPr>
                      <w:ilvl w:val="0"/>
                      <w:numId w:val="0"/>
                    </w:numPr>
                    <w:suppressLineNumbers w:val="0"/>
                    <w:spacing w:line="240" w:lineRule="auto"/>
                    <w:ind w:left="0" w:leftChars="0" w:firstLine="0" w:firstLineChars="0"/>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w:t>
                  </w:r>
                </w:p>
              </w:tc>
              <w:tc>
                <w:tcPr>
                  <w:tcW w:w="1400" w:type="dxa"/>
                  <w:vAlign w:val="center"/>
                </w:tcPr>
                <w:p>
                  <w:pPr>
                    <w:keepNext w:val="0"/>
                    <w:keepLines w:val="0"/>
                    <w:widowControl/>
                    <w:numPr>
                      <w:ilvl w:val="0"/>
                      <w:numId w:val="0"/>
                    </w:numPr>
                    <w:suppressLineNumbers w:val="0"/>
                    <w:spacing w:line="240" w:lineRule="auto"/>
                    <w:ind w:left="0" w:leftChars="0" w:firstLine="0" w:firstLineChars="0"/>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color w:val="auto"/>
                      <w:sz w:val="18"/>
                      <w:szCs w:val="18"/>
                      <w:lang w:val="en-US" w:eastAsia="zh-CN"/>
                    </w:rPr>
                    <w:t>0.01t</w:t>
                  </w:r>
                </w:p>
              </w:tc>
              <w:tc>
                <w:tcPr>
                  <w:tcW w:w="1013" w:type="dxa"/>
                  <w:vAlign w:val="center"/>
                </w:tcPr>
                <w:p>
                  <w:pPr>
                    <w:keepNext w:val="0"/>
                    <w:keepLines w:val="0"/>
                    <w:widowControl/>
                    <w:numPr>
                      <w:ilvl w:val="0"/>
                      <w:numId w:val="0"/>
                    </w:numPr>
                    <w:suppressLineNumbers w:val="0"/>
                    <w:spacing w:line="240" w:lineRule="auto"/>
                    <w:ind w:left="0" w:leftChars="0" w:firstLine="0" w:firstLineChars="0"/>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color w:val="auto"/>
                      <w:sz w:val="18"/>
                      <w:szCs w:val="18"/>
                      <w:lang w:val="en-US" w:eastAsia="zh-CN"/>
                    </w:rPr>
                    <w:t>5</w:t>
                  </w:r>
                </w:p>
              </w:tc>
              <w:tc>
                <w:tcPr>
                  <w:tcW w:w="1412"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专用包装</w:t>
                  </w:r>
                </w:p>
              </w:tc>
              <w:tc>
                <w:tcPr>
                  <w:tcW w:w="1455" w:type="dxa"/>
                  <w:vAlign w:val="center"/>
                </w:tcPr>
                <w:p>
                  <w:pPr>
                    <w:bidi w:val="0"/>
                    <w:spacing w:line="240" w:lineRule="auto"/>
                    <w:ind w:firstLine="0" w:firstLineChars="0"/>
                    <w:jc w:val="center"/>
                    <w:rPr>
                      <w:rFonts w:hint="eastAsia" w:ascii="宋体" w:hAnsi="宋体" w:eastAsia="宋体" w:cs="宋体"/>
                      <w:b w:val="0"/>
                      <w:bCs w:val="0"/>
                      <w:color w:val="auto"/>
                      <w:kern w:val="0"/>
                      <w:sz w:val="18"/>
                      <w:szCs w:val="18"/>
                      <w:vertAlign w:val="baseline"/>
                      <w:lang w:val="en-US" w:eastAsia="zh-CN" w:bidi="ar"/>
                    </w:rPr>
                  </w:pPr>
                  <w:r>
                    <w:rPr>
                      <w:rFonts w:hint="eastAsia" w:ascii="宋体" w:hAnsi="宋体" w:eastAsia="宋体" w:cs="宋体"/>
                      <w:b w:val="0"/>
                      <w:bCs w:val="0"/>
                      <w:color w:val="auto"/>
                      <w:kern w:val="0"/>
                      <w:sz w:val="18"/>
                      <w:szCs w:val="18"/>
                      <w:vertAlign w:val="baseline"/>
                      <w:lang w:val="en-US" w:eastAsia="zh-CN" w:bidi="ar"/>
                    </w:rPr>
                    <w:t>项目区消毒</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2、环境风险潜势初判</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（1）环境风险潜势划分</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根据《建设项目环境风险评价技术导则》（HJ169-2018），建设项目潜势划分为Ⅰ、Ⅱ、Ⅲ、Ⅳ/Ⅳ+级。 </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根据建设项目涉及的物质和工艺系统的危险性及其所在地的环境敏感程度，结合事故情形下环境影响途径，对建设项目潜在环境危害程度进行概化分析，按照下表确定环境风险潜势。 </w:t>
            </w:r>
          </w:p>
          <w:p>
            <w:pPr>
              <w:bidi w:val="0"/>
              <w:ind w:left="0" w:leftChars="0" w:firstLine="0" w:firstLineChars="0"/>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表4-15  建设项目环境风险潜势划分</w:t>
            </w:r>
          </w:p>
          <w:tbl>
            <w:tblPr>
              <w:tblStyle w:val="27"/>
              <w:tblW w:w="7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413"/>
              <w:gridCol w:w="1487"/>
              <w:gridCol w:w="1488"/>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环境敏感程度（E）</w:t>
                  </w:r>
                </w:p>
              </w:tc>
              <w:tc>
                <w:tcPr>
                  <w:tcW w:w="563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危险物质及工艺系统危险性等级判断（P）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环境高度敏感区（E1）</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极高危险（P1）</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高度危害（P2）</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中度危害（3）</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轻度危害（4）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环境中度敏感区（E2）</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Ⅳ</w:t>
                  </w:r>
                  <w:r>
                    <w:rPr>
                      <w:rFonts w:hint="eastAsia" w:ascii="宋体" w:hAnsi="宋体" w:eastAsia="宋体" w:cs="宋体"/>
                      <w:color w:val="auto"/>
                      <w:sz w:val="18"/>
                      <w:szCs w:val="18"/>
                      <w:vertAlign w:val="superscript"/>
                      <w:lang w:val="en-US" w:eastAsia="zh-CN"/>
                    </w:rPr>
                    <w:t>+</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Ⅳ</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Ⅲ</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环境低度敏感区（E3）</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Ⅳ</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Ⅲ</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Ⅲ</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环境敏感程度（E）</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Ⅲ</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Ⅲ</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Ⅱ</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注：Ⅳ</w:t>
                  </w:r>
                  <w:r>
                    <w:rPr>
                      <w:rFonts w:hint="eastAsia" w:ascii="宋体" w:hAnsi="宋体" w:eastAsia="宋体" w:cs="宋体"/>
                      <w:color w:val="auto"/>
                      <w:sz w:val="18"/>
                      <w:szCs w:val="18"/>
                      <w:vertAlign w:val="superscript"/>
                      <w:lang w:val="en-US" w:eastAsia="zh-CN"/>
                    </w:rPr>
                    <w:t>+</w:t>
                  </w:r>
                  <w:r>
                    <w:rPr>
                      <w:rFonts w:hint="eastAsia" w:ascii="宋体" w:hAnsi="宋体" w:eastAsia="宋体" w:cs="宋体"/>
                      <w:color w:val="auto"/>
                      <w:sz w:val="18"/>
                      <w:szCs w:val="18"/>
                      <w:lang w:val="en-US" w:eastAsia="zh-CN"/>
                    </w:rPr>
                    <w:t>为极高环境风险</w:t>
                  </w:r>
                </w:p>
              </w:tc>
            </w:tr>
          </w:tbl>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（2）P的分级确定</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Q值确定：根据《建设项目环境风险评价技术导则》（HJ169-2018）附录 C 危险物质数量与临界量比值 Q 的计算方法：当只涉及一种危险物质时，计算该物质的总量与临界量的比值，即为 Q；当存在多种危险物质时，则按下式计算物质总量与其临界量比值（Q）：</w:t>
            </w:r>
          </w:p>
          <w:p>
            <w:pPr>
              <w:bidi w:val="0"/>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drawing>
                <wp:inline distT="0" distB="0" distL="114300" distR="114300">
                  <wp:extent cx="1991995" cy="506730"/>
                  <wp:effectExtent l="0" t="0" r="1905" b="1270"/>
                  <wp:docPr id="17" name="图片 17" descr="微信截图_2021091516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截图_20210915165846"/>
                          <pic:cNvPicPr>
                            <a:picLocks noChangeAspect="1"/>
                          </pic:cNvPicPr>
                        </pic:nvPicPr>
                        <pic:blipFill>
                          <a:blip r:embed="rId13"/>
                          <a:stretch>
                            <a:fillRect/>
                          </a:stretch>
                        </pic:blipFill>
                        <pic:spPr>
                          <a:xfrm>
                            <a:off x="0" y="0"/>
                            <a:ext cx="1991995" cy="506730"/>
                          </a:xfrm>
                          <a:prstGeom prst="rect">
                            <a:avLst/>
                          </a:prstGeom>
                        </pic:spPr>
                      </pic:pic>
                    </a:graphicData>
                  </a:graphic>
                </wp:inline>
              </w:drawing>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式中：q1，q2，…，qn——每种危险物质的最大存在总量，t；</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Q1，Q2，…，Qn——每种危险物质的临界量，t。 </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当Q＜1 时，该项目环境风险潜势为Ⅰ </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当Q≥1时，将Q值划分为：（1）1≤Q＜10；（2）10≤Q＜100；（3） </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Q≥100。</w:t>
            </w:r>
          </w:p>
          <w:p>
            <w:pPr>
              <w:adjustRightInd w:val="0"/>
              <w:snapToGrid w:val="0"/>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根据《建设项目环境风险评价技术导则》（HJ169-2018）附录B表B.1突发环境事件风险物质及临界值表，项目物料存储量对比情况及Q值计算详见下表。</w:t>
            </w:r>
          </w:p>
          <w:p>
            <w:pPr>
              <w:bidi w:val="0"/>
              <w:ind w:left="0" w:leftChars="0" w:firstLine="0" w:firstLineChars="0"/>
              <w:jc w:val="center"/>
              <w:rPr>
                <w:rFonts w:hint="eastAsia" w:ascii="黑体" w:hAnsi="黑体" w:eastAsia="黑体" w:cs="黑体"/>
                <w:b w:val="0"/>
                <w:bCs w:val="0"/>
                <w:color w:val="auto"/>
                <w:kern w:val="0"/>
                <w:sz w:val="21"/>
                <w:szCs w:val="21"/>
                <w:lang w:val="en-US" w:eastAsia="zh-CN" w:bidi="ar"/>
              </w:rPr>
            </w:pPr>
            <w:r>
              <w:rPr>
                <w:rFonts w:hint="eastAsia" w:ascii="黑体" w:hAnsi="黑体" w:eastAsia="黑体" w:cs="黑体"/>
                <w:b w:val="0"/>
                <w:bCs w:val="0"/>
                <w:color w:val="auto"/>
                <w:kern w:val="0"/>
                <w:sz w:val="21"/>
                <w:szCs w:val="21"/>
                <w:lang w:val="en-US" w:eastAsia="zh-CN" w:bidi="ar"/>
              </w:rPr>
              <w:t>表4-16  项目Q值一览表</w:t>
            </w:r>
          </w:p>
          <w:tbl>
            <w:tblPr>
              <w:tblStyle w:val="27"/>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303"/>
              <w:gridCol w:w="1159"/>
              <w:gridCol w:w="1822"/>
              <w:gridCol w:w="1444"/>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97"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序号</w:t>
                  </w:r>
                </w:p>
              </w:tc>
              <w:tc>
                <w:tcPr>
                  <w:tcW w:w="1303" w:type="dxa"/>
                  <w:vAlign w:val="center"/>
                </w:tcPr>
                <w:p>
                  <w:pPr>
                    <w:keepNext w:val="0"/>
                    <w:keepLines w:val="0"/>
                    <w:widowControl/>
                    <w:suppressLineNumbers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物质名称</w:t>
                  </w:r>
                </w:p>
              </w:tc>
              <w:tc>
                <w:tcPr>
                  <w:tcW w:w="1159" w:type="dxa"/>
                  <w:vAlign w:val="center"/>
                </w:tcPr>
                <w:p>
                  <w:pPr>
                    <w:keepNext w:val="0"/>
                    <w:keepLines w:val="0"/>
                    <w:widowControl/>
                    <w:suppressLineNumbers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CAS号</w:t>
                  </w:r>
                </w:p>
              </w:tc>
              <w:tc>
                <w:tcPr>
                  <w:tcW w:w="1822" w:type="dxa"/>
                  <w:vAlign w:val="center"/>
                </w:tcPr>
                <w:p>
                  <w:pPr>
                    <w:keepNext w:val="0"/>
                    <w:keepLines w:val="0"/>
                    <w:widowControl/>
                    <w:suppressLineNumbers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最大储存量qi（t）</w:t>
                  </w:r>
                </w:p>
              </w:tc>
              <w:tc>
                <w:tcPr>
                  <w:tcW w:w="1444" w:type="dxa"/>
                  <w:vAlign w:val="center"/>
                </w:tcPr>
                <w:p>
                  <w:pPr>
                    <w:keepNext w:val="0"/>
                    <w:keepLines w:val="0"/>
                    <w:widowControl/>
                    <w:suppressLineNumbers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临界量Qi（t）</w:t>
                  </w:r>
                </w:p>
              </w:tc>
              <w:tc>
                <w:tcPr>
                  <w:tcW w:w="1508" w:type="dxa"/>
                  <w:vAlign w:val="center"/>
                </w:tcPr>
                <w:p>
                  <w:pPr>
                    <w:keepNext w:val="0"/>
                    <w:keepLines w:val="0"/>
                    <w:widowControl/>
                    <w:suppressLineNumbers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qi/Qi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97"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1</w:t>
                  </w:r>
                </w:p>
              </w:tc>
              <w:tc>
                <w:tcPr>
                  <w:tcW w:w="1303" w:type="dxa"/>
                  <w:vAlign w:val="center"/>
                </w:tcPr>
                <w:p>
                  <w:pPr>
                    <w:keepNext w:val="0"/>
                    <w:keepLines w:val="0"/>
                    <w:widowControl/>
                    <w:suppressLineNumbers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酒精</w:t>
                  </w:r>
                </w:p>
              </w:tc>
              <w:tc>
                <w:tcPr>
                  <w:tcW w:w="1159" w:type="dxa"/>
                  <w:vAlign w:val="center"/>
                </w:tcPr>
                <w:p>
                  <w:pPr>
                    <w:keepNext w:val="0"/>
                    <w:keepLines w:val="0"/>
                    <w:widowControl/>
                    <w:suppressLineNumbers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64-17-5</w:t>
                  </w:r>
                </w:p>
              </w:tc>
              <w:tc>
                <w:tcPr>
                  <w:tcW w:w="1822" w:type="dxa"/>
                  <w:vAlign w:val="center"/>
                </w:tcPr>
                <w:p>
                  <w:pPr>
                    <w:keepNext w:val="0"/>
                    <w:keepLines w:val="0"/>
                    <w:widowControl/>
                    <w:suppressLineNumbers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0.561t</w:t>
                  </w:r>
                </w:p>
              </w:tc>
              <w:tc>
                <w:tcPr>
                  <w:tcW w:w="1444"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500</w:t>
                  </w:r>
                </w:p>
              </w:tc>
              <w:tc>
                <w:tcPr>
                  <w:tcW w:w="1508"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97"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2</w:t>
                  </w:r>
                </w:p>
              </w:tc>
              <w:tc>
                <w:tcPr>
                  <w:tcW w:w="1303" w:type="dxa"/>
                  <w:vAlign w:val="center"/>
                </w:tcPr>
                <w:p>
                  <w:pPr>
                    <w:keepNext w:val="0"/>
                    <w:keepLines w:val="0"/>
                    <w:widowControl/>
                    <w:suppressLineNumbers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（含氯消毒片）三氯异氰尿酸</w:t>
                  </w:r>
                </w:p>
              </w:tc>
              <w:tc>
                <w:tcPr>
                  <w:tcW w:w="1159" w:type="dxa"/>
                  <w:vAlign w:val="center"/>
                </w:tcPr>
                <w:p>
                  <w:pPr>
                    <w:keepNext w:val="0"/>
                    <w:keepLines w:val="0"/>
                    <w:widowControl/>
                    <w:suppressLineNumbers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87-90-1</w:t>
                  </w:r>
                </w:p>
              </w:tc>
              <w:tc>
                <w:tcPr>
                  <w:tcW w:w="1822" w:type="dxa"/>
                  <w:vAlign w:val="center"/>
                </w:tcPr>
                <w:p>
                  <w:pPr>
                    <w:keepNext w:val="0"/>
                    <w:keepLines w:val="0"/>
                    <w:widowControl/>
                    <w:suppressLineNumbers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0.01t</w:t>
                  </w:r>
                </w:p>
              </w:tc>
              <w:tc>
                <w:tcPr>
                  <w:tcW w:w="1444"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w:t>
                  </w:r>
                </w:p>
              </w:tc>
              <w:tc>
                <w:tcPr>
                  <w:tcW w:w="1508"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97"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3</w:t>
                  </w:r>
                </w:p>
              </w:tc>
              <w:tc>
                <w:tcPr>
                  <w:tcW w:w="1303" w:type="dxa"/>
                  <w:vAlign w:val="center"/>
                </w:tcPr>
                <w:p>
                  <w:pPr>
                    <w:keepNext w:val="0"/>
                    <w:keepLines w:val="0"/>
                    <w:widowControl/>
                    <w:suppressLineNumbers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柴油</w:t>
                  </w:r>
                </w:p>
              </w:tc>
              <w:tc>
                <w:tcPr>
                  <w:tcW w:w="1159" w:type="dxa"/>
                  <w:vAlign w:val="center"/>
                </w:tcPr>
                <w:p>
                  <w:pPr>
                    <w:keepNext w:val="0"/>
                    <w:keepLines w:val="0"/>
                    <w:widowControl/>
                    <w:suppressLineNumbers w:val="0"/>
                    <w:jc w:val="center"/>
                    <w:rPr>
                      <w:rFonts w:hint="eastAsia" w:ascii="宋体" w:hAnsi="宋体" w:eastAsia="宋体" w:cs="宋体"/>
                      <w:color w:val="auto"/>
                      <w:sz w:val="18"/>
                      <w:szCs w:val="18"/>
                      <w:lang w:val="en-US" w:eastAsia="zh-CN"/>
                    </w:rPr>
                  </w:pPr>
                </w:p>
              </w:tc>
              <w:tc>
                <w:tcPr>
                  <w:tcW w:w="1822" w:type="dxa"/>
                  <w:vAlign w:val="center"/>
                </w:tcPr>
                <w:p>
                  <w:pPr>
                    <w:keepNext w:val="0"/>
                    <w:keepLines w:val="0"/>
                    <w:widowControl/>
                    <w:suppressLineNumbers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0.162</w:t>
                  </w:r>
                </w:p>
              </w:tc>
              <w:tc>
                <w:tcPr>
                  <w:tcW w:w="1444"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2500</w:t>
                  </w:r>
                </w:p>
              </w:tc>
              <w:tc>
                <w:tcPr>
                  <w:tcW w:w="1508"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25" w:type="dxa"/>
                  <w:gridSpan w:val="5"/>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合计</w:t>
                  </w:r>
                </w:p>
              </w:tc>
              <w:tc>
                <w:tcPr>
                  <w:tcW w:w="1508" w:type="dxa"/>
                  <w:vAlign w:val="center"/>
                </w:tcPr>
                <w:p>
                  <w:pPr>
                    <w:autoSpaceDE w:val="0"/>
                    <w:autoSpaceDN w:val="0"/>
                    <w:adjustRightInd w:val="0"/>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0.00312</w:t>
                  </w:r>
                </w:p>
              </w:tc>
            </w:tr>
          </w:tbl>
          <w:p>
            <w:pPr>
              <w:numPr>
                <w:ilvl w:val="0"/>
                <w:numId w:val="0"/>
              </w:numPr>
              <w:bidi w:val="0"/>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由上表计算可知，Q值为</w:t>
            </w:r>
            <w:r>
              <w:rPr>
                <w:rFonts w:hint="eastAsia" w:ascii="宋体" w:hAnsi="宋体" w:eastAsia="宋体" w:cs="宋体"/>
                <w:color w:val="auto"/>
                <w:sz w:val="24"/>
                <w:szCs w:val="24"/>
                <w:lang w:val="en-US" w:eastAsia="zh-CN"/>
              </w:rPr>
              <w:t>0.00312</w:t>
            </w:r>
            <w:r>
              <w:rPr>
                <w:rFonts w:hint="eastAsia" w:ascii="宋体" w:hAnsi="宋体" w:eastAsia="宋体" w:cs="宋体"/>
                <w:b w:val="0"/>
                <w:bCs w:val="0"/>
                <w:color w:val="auto"/>
                <w:sz w:val="24"/>
                <w:szCs w:val="24"/>
                <w:lang w:val="en-US" w:eastAsia="zh-CN"/>
              </w:rPr>
              <w:t>＜1，所以该项目环境风险潜势为Ⅰ，进行简单分析。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3、环境风险识别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项目风险物质识别见下表：</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4</w:t>
            </w:r>
            <w:r>
              <w:rPr>
                <w:rFonts w:hint="eastAsia" w:ascii="黑体" w:hAnsi="黑体" w:eastAsia="黑体" w:cs="黑体"/>
                <w:b w:val="0"/>
                <w:bCs w:val="0"/>
                <w:color w:val="auto"/>
                <w:sz w:val="21"/>
                <w:szCs w:val="21"/>
              </w:rPr>
              <w:t>-</w:t>
            </w:r>
            <w:r>
              <w:rPr>
                <w:rFonts w:hint="eastAsia" w:ascii="黑体" w:hAnsi="黑体" w:eastAsia="黑体" w:cs="黑体"/>
                <w:b w:val="0"/>
                <w:bCs w:val="0"/>
                <w:color w:val="auto"/>
                <w:sz w:val="21"/>
                <w:szCs w:val="21"/>
                <w:lang w:val="en-US" w:eastAsia="zh-CN"/>
              </w:rPr>
              <w:t>17</w:t>
            </w:r>
            <w:r>
              <w:rPr>
                <w:rFonts w:hint="eastAsia" w:ascii="黑体" w:hAnsi="黑体" w:eastAsia="黑体" w:cs="黑体"/>
                <w:b w:val="0"/>
                <w:bCs w:val="0"/>
                <w:color w:val="auto"/>
                <w:sz w:val="21"/>
                <w:szCs w:val="21"/>
              </w:rPr>
              <w:t xml:space="preserve"> 项目危险物质理化性质及毒性特征一览表</w:t>
            </w:r>
          </w:p>
          <w:tbl>
            <w:tblPr>
              <w:tblStyle w:val="27"/>
              <w:tblW w:w="7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2247"/>
              <w:gridCol w:w="4067"/>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511" w:type="dxa"/>
                  <w:vAlign w:val="center"/>
                </w:tcPr>
                <w:p>
                  <w:pPr>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名称</w:t>
                  </w:r>
                </w:p>
              </w:tc>
              <w:tc>
                <w:tcPr>
                  <w:tcW w:w="2247" w:type="dxa"/>
                  <w:vAlign w:val="center"/>
                </w:tcPr>
                <w:p>
                  <w:pPr>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理化性质</w:t>
                  </w:r>
                </w:p>
              </w:tc>
              <w:tc>
                <w:tcPr>
                  <w:tcW w:w="4067" w:type="dxa"/>
                  <w:vAlign w:val="center"/>
                </w:tcPr>
                <w:p>
                  <w:pPr>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危险特性</w:t>
                  </w:r>
                </w:p>
              </w:tc>
              <w:tc>
                <w:tcPr>
                  <w:tcW w:w="1100" w:type="dxa"/>
                  <w:vAlign w:val="center"/>
                </w:tcPr>
                <w:p>
                  <w:pPr>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物质风险辨识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511" w:type="dxa"/>
                  <w:vAlign w:val="center"/>
                </w:tcPr>
                <w:p>
                  <w:pPr>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氧气</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分子式：O</w:t>
                  </w:r>
                  <w:r>
                    <w:rPr>
                      <w:rFonts w:hint="eastAsia" w:ascii="宋体" w:hAnsi="宋体" w:eastAsia="宋体" w:cs="宋体"/>
                      <w:color w:val="auto"/>
                      <w:sz w:val="18"/>
                      <w:szCs w:val="18"/>
                      <w:vertAlign w:val="subscript"/>
                    </w:rPr>
                    <w:t>2</w:t>
                  </w:r>
                  <w:r>
                    <w:rPr>
                      <w:rFonts w:hint="eastAsia" w:ascii="宋体" w:hAnsi="宋体" w:eastAsia="宋体" w:cs="宋体"/>
                      <w:color w:val="auto"/>
                      <w:sz w:val="18"/>
                      <w:szCs w:val="18"/>
                    </w:rPr>
                    <w:t>；分子量：32； 熔点：-218.8℃；沸点： -182.83℃；外观与性状：无色无气体；溶解性：溶于水、乙醇。</w:t>
                  </w:r>
                </w:p>
              </w:tc>
              <w:tc>
                <w:tcPr>
                  <w:tcW w:w="40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燃烧爆炸危险性燃烧性：不会燃烧，但助燃；危险特性：是易燃物、可燃物燃烧爆炸的基本要素之一，能氧化大多数活性物质。与易燃物（如乙炔、甲烷等）形成爆炸性的混合物。禁配物：易燃或可燃物、活性金属粉末、乙炔。</w:t>
                  </w:r>
                </w:p>
              </w:tc>
              <w:tc>
                <w:tcPr>
                  <w:tcW w:w="1100" w:type="dxa"/>
                  <w:vAlign w:val="center"/>
                </w:tcPr>
                <w:p>
                  <w:pPr>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511" w:type="dxa"/>
                  <w:vAlign w:val="center"/>
                </w:tcPr>
                <w:p>
                  <w:pPr>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酒精</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分子式：C</w:t>
                  </w:r>
                  <w:r>
                    <w:rPr>
                      <w:rFonts w:hint="eastAsia" w:ascii="宋体" w:hAnsi="宋体" w:eastAsia="宋体" w:cs="宋体"/>
                      <w:color w:val="auto"/>
                      <w:sz w:val="18"/>
                      <w:szCs w:val="18"/>
                      <w:vertAlign w:val="subscript"/>
                    </w:rPr>
                    <w:t>2</w:t>
                  </w:r>
                  <w:r>
                    <w:rPr>
                      <w:rFonts w:hint="eastAsia" w:ascii="宋体" w:hAnsi="宋体" w:eastAsia="宋体" w:cs="宋体"/>
                      <w:color w:val="auto"/>
                      <w:sz w:val="18"/>
                      <w:szCs w:val="18"/>
                    </w:rPr>
                    <w:t>H</w:t>
                  </w:r>
                  <w:r>
                    <w:rPr>
                      <w:rFonts w:hint="eastAsia" w:ascii="宋体" w:hAnsi="宋体" w:eastAsia="宋体" w:cs="宋体"/>
                      <w:color w:val="auto"/>
                      <w:sz w:val="18"/>
                      <w:szCs w:val="18"/>
                      <w:vertAlign w:val="subscript"/>
                    </w:rPr>
                    <w:t>5</w:t>
                  </w:r>
                  <w:r>
                    <w:rPr>
                      <w:rFonts w:hint="eastAsia" w:ascii="宋体" w:hAnsi="宋体" w:eastAsia="宋体" w:cs="宋体"/>
                      <w:color w:val="auto"/>
                      <w:sz w:val="18"/>
                      <w:szCs w:val="18"/>
                    </w:rPr>
                    <w:t>O；分子量： 46.07；相对密度（水=1）： 0.79；蒸汽密度（空气=1）： 1.59：沸点：78.3℃；</w:t>
                  </w:r>
                  <w:r>
                    <w:rPr>
                      <w:rFonts w:hint="eastAsia" w:ascii="宋体" w:hAnsi="宋体" w:eastAsia="宋体" w:cs="宋体"/>
                      <w:color w:val="auto"/>
                      <w:sz w:val="18"/>
                      <w:szCs w:val="18"/>
                      <w:lang w:eastAsia="zh-CN"/>
                    </w:rPr>
                    <w:t>饱和蒸汽</w:t>
                  </w:r>
                  <w:r>
                    <w:rPr>
                      <w:rFonts w:hint="eastAsia" w:ascii="宋体" w:hAnsi="宋体" w:eastAsia="宋体" w:cs="宋体"/>
                      <w:color w:val="auto"/>
                      <w:sz w:val="18"/>
                      <w:szCs w:val="18"/>
                    </w:rPr>
                    <w:t>压（kPa）5.33（19℃）； 与水混溶，可混溶于醚、氯 仿、甘油等多数有机溶剂； 无色液体。</w:t>
                  </w:r>
                </w:p>
              </w:tc>
              <w:tc>
                <w:tcPr>
                  <w:tcW w:w="40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燃烧爆炸危险性燃点（℃）：12；爆炸极限：爆炸上限%(V/V) ：19.0，爆炸下限%(V/V) ：3.3；本品易燃，具刺激性。其蒸气与空气可形成爆 炸性混合物，遇明火、高热能引起燃烧爆炸。与氧化剂接触发生化学反应或引起燃烧。在火场中，受热的容器有爆炸危险。其蒸气比空气重，能在较低处扩散到相当远的地方，遇火源会着火回燃。</w:t>
                  </w:r>
                </w:p>
              </w:tc>
              <w:tc>
                <w:tcPr>
                  <w:tcW w:w="1100" w:type="dxa"/>
                  <w:vAlign w:val="center"/>
                </w:tcPr>
                <w:p>
                  <w:pPr>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燃烧、 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511" w:type="dxa"/>
                  <w:vAlign w:val="center"/>
                </w:tcPr>
                <w:p>
                  <w:pPr>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三氯异氰尿酸</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分子式：</w:t>
                  </w:r>
                  <w:r>
                    <w:rPr>
                      <w:rFonts w:hint="eastAsia" w:ascii="宋体" w:hAnsi="宋体" w:eastAsia="宋体" w:cs="宋体"/>
                      <w:color w:val="auto"/>
                      <w:sz w:val="18"/>
                      <w:szCs w:val="18"/>
                      <w:lang w:val="en-US" w:eastAsia="zh-CN"/>
                    </w:rPr>
                    <w:t>C</w:t>
                  </w:r>
                  <w:r>
                    <w:rPr>
                      <w:rFonts w:hint="eastAsia" w:ascii="宋体" w:hAnsi="宋体" w:eastAsia="宋体" w:cs="宋体"/>
                      <w:color w:val="auto"/>
                      <w:sz w:val="18"/>
                      <w:szCs w:val="18"/>
                      <w:vertAlign w:val="subscript"/>
                      <w:lang w:val="en-US" w:eastAsia="zh-CN"/>
                    </w:rPr>
                    <w:t>3</w:t>
                  </w:r>
                  <w:r>
                    <w:rPr>
                      <w:rFonts w:hint="eastAsia" w:ascii="宋体" w:hAnsi="宋体" w:eastAsia="宋体" w:cs="宋体"/>
                      <w:color w:val="auto"/>
                      <w:sz w:val="18"/>
                      <w:szCs w:val="18"/>
                      <w:lang w:val="en-US" w:eastAsia="zh-CN"/>
                    </w:rPr>
                    <w:t>O</w:t>
                  </w:r>
                  <w:r>
                    <w:rPr>
                      <w:rFonts w:hint="eastAsia" w:ascii="宋体" w:hAnsi="宋体" w:eastAsia="宋体" w:cs="宋体"/>
                      <w:color w:val="auto"/>
                      <w:sz w:val="18"/>
                      <w:szCs w:val="18"/>
                      <w:vertAlign w:val="subscript"/>
                      <w:lang w:val="en-US" w:eastAsia="zh-CN"/>
                    </w:rPr>
                    <w:t>3</w:t>
                  </w:r>
                  <w:r>
                    <w:rPr>
                      <w:rFonts w:hint="eastAsia" w:ascii="宋体" w:hAnsi="宋体" w:eastAsia="宋体" w:cs="宋体"/>
                      <w:color w:val="auto"/>
                      <w:sz w:val="18"/>
                      <w:szCs w:val="18"/>
                      <w:lang w:val="en-US" w:eastAsia="zh-CN"/>
                    </w:rPr>
                    <w:t>N</w:t>
                  </w:r>
                  <w:r>
                    <w:rPr>
                      <w:rFonts w:hint="eastAsia" w:ascii="宋体" w:hAnsi="宋体" w:eastAsia="宋体" w:cs="宋体"/>
                      <w:color w:val="auto"/>
                      <w:sz w:val="18"/>
                      <w:szCs w:val="18"/>
                      <w:vertAlign w:val="subscript"/>
                      <w:lang w:val="en-US" w:eastAsia="zh-CN"/>
                    </w:rPr>
                    <w:t>3</w:t>
                  </w:r>
                  <w:r>
                    <w:rPr>
                      <w:rFonts w:hint="eastAsia" w:ascii="宋体" w:hAnsi="宋体" w:eastAsia="宋体" w:cs="宋体"/>
                      <w:color w:val="auto"/>
                      <w:sz w:val="18"/>
                      <w:szCs w:val="18"/>
                      <w:lang w:val="en-US" w:eastAsia="zh-CN"/>
                    </w:rPr>
                    <w:t>Cl</w:t>
                  </w:r>
                  <w:r>
                    <w:rPr>
                      <w:rFonts w:hint="eastAsia" w:ascii="宋体" w:hAnsi="宋体" w:eastAsia="宋体" w:cs="宋体"/>
                      <w:color w:val="auto"/>
                      <w:sz w:val="18"/>
                      <w:szCs w:val="18"/>
                      <w:vertAlign w:val="subscript"/>
                      <w:lang w:val="en-US" w:eastAsia="zh-CN"/>
                    </w:rPr>
                    <w:t>3</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相对密度（水=1）：</w:t>
                  </w:r>
                  <w:r>
                    <w:rPr>
                      <w:rFonts w:hint="eastAsia" w:ascii="宋体" w:hAnsi="宋体" w:eastAsia="宋体" w:cs="宋体"/>
                      <w:color w:val="auto"/>
                      <w:sz w:val="18"/>
                      <w:szCs w:val="18"/>
                      <w:lang w:val="en-US" w:eastAsia="zh-CN"/>
                    </w:rPr>
                    <w:t>&gt;1；熔点</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：225~230；溶剂性：溶于水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p>
              </w:tc>
              <w:tc>
                <w:tcPr>
                  <w:tcW w:w="40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有害</w:t>
                  </w:r>
                  <w:r>
                    <w:rPr>
                      <w:rFonts w:hint="eastAsia" w:ascii="宋体" w:hAnsi="宋体" w:eastAsia="宋体" w:cs="宋体"/>
                      <w:color w:val="auto"/>
                      <w:sz w:val="18"/>
                      <w:szCs w:val="18"/>
                    </w:rPr>
                    <w:t>燃烧</w:t>
                  </w:r>
                  <w:r>
                    <w:rPr>
                      <w:rFonts w:hint="eastAsia" w:ascii="宋体" w:hAnsi="宋体" w:eastAsia="宋体" w:cs="宋体"/>
                      <w:color w:val="auto"/>
                      <w:sz w:val="18"/>
                      <w:szCs w:val="18"/>
                      <w:lang w:eastAsia="zh-CN"/>
                    </w:rPr>
                    <w:t>产</w:t>
                  </w:r>
                  <w:r>
                    <w:rPr>
                      <w:rFonts w:hint="eastAsia" w:ascii="宋体" w:hAnsi="宋体" w:eastAsia="宋体" w:cs="宋体"/>
                      <w:color w:val="auto"/>
                      <w:sz w:val="18"/>
                      <w:szCs w:val="18"/>
                    </w:rPr>
                    <w:t>物</w:t>
                  </w:r>
                  <w:r>
                    <w:rPr>
                      <w:rFonts w:hint="eastAsia" w:ascii="宋体" w:hAnsi="宋体" w:eastAsia="宋体" w:cs="宋体"/>
                      <w:color w:val="auto"/>
                      <w:sz w:val="18"/>
                      <w:szCs w:val="18"/>
                      <w:lang w:eastAsia="zh-CN"/>
                    </w:rPr>
                    <w:t>：一氧化碳、二氧化碳、氮氧化物、氯化氢</w:t>
                  </w: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危险特性</w:t>
                  </w:r>
                  <w:r>
                    <w:rPr>
                      <w:rFonts w:hint="eastAsia" w:ascii="宋体" w:hAnsi="宋体" w:eastAsia="宋体" w:cs="宋体"/>
                      <w:color w:val="auto"/>
                      <w:sz w:val="18"/>
                      <w:szCs w:val="18"/>
                      <w:lang w:eastAsia="zh-CN"/>
                    </w:rPr>
                    <w:t>：强氧化剂。与易燃物、有机物接触易着火燃烧。遇氨、铵盐、尿素等含氮化合物及水生成易爆炸的三氯化氨。</w:t>
                  </w:r>
                  <w:r>
                    <w:rPr>
                      <w:rFonts w:hint="eastAsia" w:ascii="宋体" w:hAnsi="宋体" w:eastAsia="宋体" w:cs="宋体"/>
                      <w:color w:val="auto"/>
                      <w:sz w:val="18"/>
                      <w:szCs w:val="18"/>
                    </w:rPr>
                    <w:t>受高热分解产生有毒的腐蚀性烟气。</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禁忌物</w:t>
                  </w:r>
                  <w:r>
                    <w:rPr>
                      <w:rFonts w:hint="eastAsia" w:ascii="宋体" w:hAnsi="宋体" w:eastAsia="宋体" w:cs="宋体"/>
                      <w:color w:val="auto"/>
                      <w:sz w:val="18"/>
                      <w:szCs w:val="18"/>
                      <w:lang w:eastAsia="zh-CN"/>
                    </w:rPr>
                    <w:t>：强</w:t>
                  </w:r>
                  <w:r>
                    <w:rPr>
                      <w:rFonts w:hint="eastAsia" w:ascii="宋体" w:hAnsi="宋体" w:eastAsia="宋体" w:cs="宋体"/>
                      <w:color w:val="auto"/>
                      <w:sz w:val="18"/>
                      <w:szCs w:val="18"/>
                    </w:rPr>
                    <w:t>还原剂、</w:t>
                  </w:r>
                  <w:r>
                    <w:rPr>
                      <w:rFonts w:hint="eastAsia" w:ascii="宋体" w:hAnsi="宋体" w:eastAsia="宋体" w:cs="宋体"/>
                      <w:color w:val="auto"/>
                      <w:sz w:val="18"/>
                      <w:szCs w:val="18"/>
                      <w:lang w:eastAsia="zh-CN"/>
                    </w:rPr>
                    <w:t>强碱、水、潮湿空气</w:t>
                  </w: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储运条件</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储存于</w:t>
                  </w:r>
                  <w:r>
                    <w:rPr>
                      <w:rFonts w:hint="eastAsia" w:ascii="宋体" w:hAnsi="宋体" w:eastAsia="宋体" w:cs="宋体"/>
                      <w:color w:val="auto"/>
                      <w:sz w:val="18"/>
                      <w:szCs w:val="18"/>
                      <w:lang w:eastAsia="zh-CN"/>
                    </w:rPr>
                    <w:t>阴凉</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干燥、通风良好的</w:t>
                  </w:r>
                  <w:r>
                    <w:rPr>
                      <w:rFonts w:hint="eastAsia" w:ascii="宋体" w:hAnsi="宋体" w:eastAsia="宋体" w:cs="宋体"/>
                      <w:color w:val="auto"/>
                      <w:sz w:val="18"/>
                      <w:szCs w:val="18"/>
                    </w:rPr>
                    <w:t>库</w:t>
                  </w:r>
                  <w:r>
                    <w:rPr>
                      <w:rFonts w:hint="eastAsia" w:ascii="宋体" w:hAnsi="宋体" w:eastAsia="宋体" w:cs="宋体"/>
                      <w:color w:val="auto"/>
                      <w:sz w:val="18"/>
                      <w:szCs w:val="18"/>
                      <w:lang w:eastAsia="zh-CN"/>
                    </w:rPr>
                    <w:t>房。</w:t>
                  </w:r>
                  <w:r>
                    <w:rPr>
                      <w:rFonts w:hint="eastAsia" w:ascii="宋体" w:hAnsi="宋体" w:eastAsia="宋体" w:cs="宋体"/>
                      <w:color w:val="auto"/>
                      <w:sz w:val="18"/>
                      <w:szCs w:val="18"/>
                    </w:rPr>
                    <w:t>远离热源、火种，</w:t>
                  </w:r>
                  <w:r>
                    <w:rPr>
                      <w:rFonts w:hint="eastAsia" w:ascii="宋体" w:hAnsi="宋体" w:eastAsia="宋体" w:cs="宋体"/>
                      <w:color w:val="auto"/>
                      <w:sz w:val="18"/>
                      <w:szCs w:val="18"/>
                      <w:lang w:eastAsia="zh-CN"/>
                    </w:rPr>
                    <w:t>防止阳光直射。包装必须密封，切勿受潮。应与还原剂、碱类等分开存放，切忌混储。储区应备有合适的材料收容泄漏物。</w:t>
                  </w:r>
                  <w:r>
                    <w:rPr>
                      <w:rFonts w:hint="eastAsia" w:ascii="宋体" w:hAnsi="宋体" w:eastAsia="宋体" w:cs="宋体"/>
                      <w:color w:val="auto"/>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泄漏</w:t>
                  </w:r>
                  <w:r>
                    <w:rPr>
                      <w:rFonts w:hint="eastAsia" w:ascii="宋体" w:hAnsi="宋体" w:eastAsia="宋体" w:cs="宋体"/>
                      <w:color w:val="auto"/>
                      <w:sz w:val="18"/>
                      <w:szCs w:val="18"/>
                      <w:lang w:eastAsia="zh-CN"/>
                    </w:rPr>
                    <w:t>应急</w:t>
                  </w:r>
                  <w:r>
                    <w:rPr>
                      <w:rFonts w:hint="eastAsia" w:ascii="宋体" w:hAnsi="宋体" w:eastAsia="宋体" w:cs="宋体"/>
                      <w:color w:val="auto"/>
                      <w:sz w:val="18"/>
                      <w:szCs w:val="18"/>
                    </w:rPr>
                    <w:t>处理</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撤离泄漏污染区</w:t>
                  </w:r>
                  <w:r>
                    <w:rPr>
                      <w:rFonts w:hint="eastAsia" w:ascii="宋体" w:hAnsi="宋体" w:eastAsia="宋体" w:cs="宋体"/>
                      <w:color w:val="auto"/>
                      <w:sz w:val="18"/>
                      <w:szCs w:val="18"/>
                      <w:lang w:eastAsia="zh-CN"/>
                    </w:rPr>
                    <w:t>，限制出入，应急处理</w:t>
                  </w:r>
                  <w:r>
                    <w:rPr>
                      <w:rFonts w:hint="eastAsia" w:ascii="宋体" w:hAnsi="宋体" w:eastAsia="宋体" w:cs="宋体"/>
                      <w:color w:val="auto"/>
                      <w:sz w:val="18"/>
                      <w:szCs w:val="18"/>
                    </w:rPr>
                    <w:t>人员</w:t>
                  </w:r>
                  <w:r>
                    <w:rPr>
                      <w:rFonts w:hint="eastAsia" w:ascii="宋体" w:hAnsi="宋体" w:eastAsia="宋体" w:cs="宋体"/>
                      <w:color w:val="auto"/>
                      <w:sz w:val="18"/>
                      <w:szCs w:val="18"/>
                      <w:lang w:eastAsia="zh-CN"/>
                    </w:rPr>
                    <w:t>戴防尘口罩，穿一般作业工作服。不要直接接触泄漏物。小量泄漏：避免扬尘，用洁净的铲子收集于干燥、洁净、有盖的容器中。大量泄漏：收集回收或运至废物处理场所处置。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灭火方法</w:t>
                  </w:r>
                  <w:r>
                    <w:rPr>
                      <w:rFonts w:hint="eastAsia" w:ascii="宋体" w:hAnsi="宋体" w:eastAsia="宋体" w:cs="宋体"/>
                      <w:color w:val="auto"/>
                      <w:sz w:val="18"/>
                      <w:szCs w:val="18"/>
                      <w:lang w:eastAsia="zh-CN"/>
                    </w:rPr>
                    <w:t>：根据着火原因选择适当的灭火剂灭火。</w:t>
                  </w:r>
                  <w:r>
                    <w:rPr>
                      <w:rFonts w:hint="eastAsia" w:ascii="宋体" w:hAnsi="宋体" w:eastAsia="宋体" w:cs="宋体"/>
                      <w:color w:val="auto"/>
                      <w:sz w:val="18"/>
                      <w:szCs w:val="18"/>
                      <w:lang w:val="en-US" w:eastAsia="zh-CN"/>
                    </w:rPr>
                    <w:t xml:space="preserve"> </w:t>
                  </w:r>
                </w:p>
              </w:tc>
              <w:tc>
                <w:tcPr>
                  <w:tcW w:w="1100" w:type="dxa"/>
                  <w:vAlign w:val="center"/>
                </w:tcPr>
                <w:p>
                  <w:pPr>
                    <w:spacing w:line="36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11" w:type="dxa"/>
                  <w:vAlign w:val="center"/>
                </w:tcPr>
                <w:p>
                  <w:pPr>
                    <w:spacing w:line="36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柴油</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分子式：C</w:t>
                  </w:r>
                  <w:r>
                    <w:rPr>
                      <w:rFonts w:hint="eastAsia" w:ascii="宋体" w:hAnsi="宋体" w:eastAsia="宋体" w:cs="宋体"/>
                      <w:color w:val="auto"/>
                      <w:sz w:val="18"/>
                      <w:szCs w:val="18"/>
                      <w:vertAlign w:val="subscript"/>
                    </w:rPr>
                    <w:t>4</w:t>
                  </w:r>
                  <w:r>
                    <w:rPr>
                      <w:rFonts w:hint="eastAsia" w:ascii="宋体" w:hAnsi="宋体" w:eastAsia="宋体" w:cs="宋体"/>
                      <w:color w:val="auto"/>
                      <w:sz w:val="18"/>
                      <w:szCs w:val="18"/>
                    </w:rPr>
                    <w:t>H</w:t>
                  </w:r>
                  <w:r>
                    <w:rPr>
                      <w:rFonts w:hint="eastAsia" w:ascii="宋体" w:hAnsi="宋体" w:eastAsia="宋体" w:cs="宋体"/>
                      <w:color w:val="auto"/>
                      <w:sz w:val="18"/>
                      <w:szCs w:val="18"/>
                      <w:vertAlign w:val="subscript"/>
                    </w:rPr>
                    <w:t>100</w:t>
                  </w:r>
                  <w:r>
                    <w:rPr>
                      <w:rFonts w:hint="eastAsia" w:ascii="宋体" w:hAnsi="宋体" w:eastAsia="宋体" w:cs="宋体"/>
                      <w:color w:val="auto"/>
                      <w:sz w:val="18"/>
                      <w:szCs w:val="18"/>
                    </w:rPr>
                    <w:t>～C</w:t>
                  </w:r>
                  <w:r>
                    <w:rPr>
                      <w:rFonts w:hint="eastAsia" w:ascii="宋体" w:hAnsi="宋体" w:eastAsia="宋体" w:cs="宋体"/>
                      <w:color w:val="auto"/>
                      <w:sz w:val="18"/>
                      <w:szCs w:val="18"/>
                      <w:vertAlign w:val="subscript"/>
                    </w:rPr>
                    <w:t>12</w:t>
                  </w:r>
                  <w:r>
                    <w:rPr>
                      <w:rFonts w:hint="eastAsia" w:ascii="宋体" w:hAnsi="宋体" w:eastAsia="宋体" w:cs="宋体"/>
                      <w:color w:val="auto"/>
                      <w:sz w:val="18"/>
                      <w:szCs w:val="18"/>
                    </w:rPr>
                    <w:t>H</w:t>
                  </w:r>
                  <w:r>
                    <w:rPr>
                      <w:rFonts w:hint="eastAsia" w:ascii="宋体" w:hAnsi="宋体" w:eastAsia="宋体" w:cs="宋体"/>
                      <w:color w:val="auto"/>
                      <w:sz w:val="18"/>
                      <w:szCs w:val="18"/>
                      <w:vertAlign w:val="subscript"/>
                    </w:rPr>
                    <w:t>26</w:t>
                  </w:r>
                </w:p>
              </w:tc>
              <w:tc>
                <w:tcPr>
                  <w:tcW w:w="4067" w:type="dxa"/>
                  <w:vAlign w:val="center"/>
                </w:tcPr>
                <w:p>
                  <w:pPr>
                    <w:adjustRightInd w:val="0"/>
                    <w:snapToGrid w:val="0"/>
                    <w:rPr>
                      <w:rFonts w:hint="eastAsia" w:ascii="宋体" w:hAnsi="宋体" w:eastAsia="宋体" w:cs="宋体"/>
                      <w:color w:val="auto"/>
                      <w:sz w:val="18"/>
                      <w:szCs w:val="18"/>
                    </w:rPr>
                  </w:pPr>
                  <w:r>
                    <w:rPr>
                      <w:rFonts w:hint="eastAsia" w:ascii="宋体" w:hAnsi="宋体" w:eastAsia="宋体" w:cs="宋体"/>
                      <w:color w:val="auto"/>
                      <w:sz w:val="18"/>
                      <w:szCs w:val="18"/>
                    </w:rPr>
                    <w:t>危险特性：其蒸气与空气可形成爆炸性混合物，遇明火、高热能引起燃烧爆炸。与氧化剂可发生反应。流速过快，容易产生和积聚静电。其蒸气比空气重，能在较低处扩散到相当远的地方，遇火源会着火回燃。若遇高热，容器内压增大，有开裂和爆炸的危险。</w:t>
                  </w:r>
                </w:p>
                <w:p>
                  <w:pPr>
                    <w:adjustRightInd w:val="0"/>
                    <w:snapToGrid w:val="0"/>
                    <w:rPr>
                      <w:rFonts w:hint="eastAsia" w:ascii="宋体" w:hAnsi="宋体" w:eastAsia="宋体" w:cs="宋体"/>
                      <w:color w:val="auto"/>
                      <w:sz w:val="18"/>
                      <w:szCs w:val="18"/>
                    </w:rPr>
                  </w:pPr>
                  <w:r>
                    <w:rPr>
                      <w:rFonts w:hint="eastAsia" w:ascii="宋体" w:hAnsi="宋体" w:eastAsia="宋体" w:cs="宋体"/>
                      <w:color w:val="auto"/>
                      <w:sz w:val="18"/>
                      <w:szCs w:val="18"/>
                    </w:rPr>
                    <w:t xml:space="preserve">灭火方法：消防人员须佩戴防毒面具、穿全身消防服，在上风向灭火。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灭火剂：用雾状水、泡沫、干粉、二氧化碳、砂土灭火。</w:t>
                  </w:r>
                </w:p>
              </w:tc>
              <w:tc>
                <w:tcPr>
                  <w:tcW w:w="1100" w:type="dxa"/>
                  <w:vAlign w:val="center"/>
                </w:tcPr>
                <w:p>
                  <w:pPr>
                    <w:spacing w:line="36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燃烧</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建设项目环境风险评价技术导则》（HJ169-2018）和《环境风险评价实用技术和方法》规定，风险评价首先要确定建设项目所用原辅材料的毒性、易燃易爆性等危险性级别。本项目对环境造成的风险事故主要有以下几个途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（1）泄漏事故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1）柴油泄漏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柴油泄漏后会进入地表水，随地表水扩散，污染地表水体。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2）酒精泄漏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酒精泄漏后进入水体中会对水体造成污染，酒精蒸汽有刺鼻性气味，造成人体不适。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3）氧气泄漏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氧气泄漏会造成泄漏点局部空间氧含量过高，若遇火源会引起火灾、爆炸。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（2）火灾、爆炸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燃烧产生的废气通过大气环境扩散，污染周边大气环境；爆炸导致污染物进入水体，通过水体扩散，污染地表水体。</w:t>
            </w:r>
          </w:p>
          <w:p>
            <w:pPr>
              <w:bidi w:val="0"/>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4、环境风险分析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（1）泄漏事故环境风险分析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①柴油泄漏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医院使用的柴油为桶装，最大存储量为200L，存储于发电机房内，房门上锁。柴油泄漏进入地表水体后会很快在水面形成油膜，对河流水质和水生生物产生较严重的影响，而且其影响是显著、长期的。柴油泄漏进入土壤环境，造成土壤内微生物死亡；由于油品有黏性，粘附于枝叶，影响植物光合作用，可使植物枯死；在土壤中粘附于植物根系，阻止植物吸收水分和矿物质而死。柴油泄漏遇明火可能引发爆炸事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②酒精泄漏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医院酒精最大存储量为0.561t，存放于药品间内，存储量较小，发生泄漏不会进入地表水体，仅对周边局部大气环境产生一定影响，但影响较小。酒精泄漏遇明火可能引发爆炸事故。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③氧气泄漏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医院氧气最大存储量为0.000157t，若氧气瓶阀门松动，或氧气管道破裂则会导致氧气泄漏，造成泄漏点局部空间内氧含量过高，若遇明火可能引发火灾、爆炸事故。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（2）火灾、爆炸事故环境风险分析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医院突发火灾事故将产生废气，主要有未燃烧的烟气、二氧化碳，并含有少量一氧化碳、二氧化氮、二氧化硫和烟尘等有害物质。烟气在风力作用下，将快速扩散到周边大气中并增加大气污染物浓度，污染周边大气环境。柴油、酒精、氧气遇火可能发生爆炸，污染周边大气环境、水环境。</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 xml:space="preserve">（3）废水事故外排风险分析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污水处理站设备故障导致达不到处理效率，废水超标排入市政污水管网，会对勐海县污水处理厂处理</w:t>
            </w:r>
            <w:r>
              <w:rPr>
                <w:rFonts w:hint="eastAsia" w:ascii="宋体" w:hAnsi="宋体" w:cs="宋体"/>
                <w:color w:val="auto"/>
                <w:sz w:val="24"/>
                <w:szCs w:val="24"/>
                <w:lang w:val="en-US" w:eastAsia="zh-CN"/>
              </w:rPr>
              <w:t>工况</w:t>
            </w:r>
            <w:r>
              <w:rPr>
                <w:rFonts w:hint="eastAsia" w:ascii="宋体" w:hAnsi="宋体" w:eastAsia="宋体" w:cs="宋体"/>
                <w:color w:val="auto"/>
                <w:sz w:val="24"/>
                <w:szCs w:val="24"/>
                <w:lang w:val="en-US" w:eastAsia="zh-CN"/>
              </w:rPr>
              <w:t>造成波动。若污水池破损导致废水渗漏，会污染地下水及土壤。</w:t>
            </w:r>
          </w:p>
          <w:p>
            <w:pPr>
              <w:pStyle w:val="7"/>
              <w:numPr>
                <w:ilvl w:val="0"/>
                <w:numId w:val="0"/>
              </w:numPr>
              <w:ind w:right="113" w:rightChars="0"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医疗废物</w:t>
            </w:r>
            <w:r>
              <w:rPr>
                <w:rFonts w:hint="eastAsia" w:ascii="宋体" w:hAnsi="宋体" w:cs="宋体"/>
                <w:color w:val="auto"/>
                <w:sz w:val="24"/>
                <w:szCs w:val="24"/>
                <w:lang w:val="en-US" w:eastAsia="zh-CN"/>
              </w:rPr>
              <w:t>收集及</w:t>
            </w:r>
            <w:r>
              <w:rPr>
                <w:rFonts w:hint="eastAsia" w:ascii="宋体" w:hAnsi="宋体" w:eastAsia="宋体" w:cs="宋体"/>
                <w:color w:val="auto"/>
                <w:sz w:val="24"/>
                <w:szCs w:val="24"/>
                <w:lang w:val="en-US" w:eastAsia="zh-CN"/>
              </w:rPr>
              <w:t>暂存过程风险分析</w:t>
            </w:r>
          </w:p>
          <w:p>
            <w:pPr>
              <w:adjustRightInd w:val="0"/>
              <w:snapToGrid w:val="0"/>
              <w:spacing w:line="360" w:lineRule="auto"/>
              <w:ind w:firstLine="480" w:firstLineChars="200"/>
              <w:rPr>
                <w:rFonts w:hint="default"/>
                <w:color w:val="auto"/>
                <w:lang w:val="en-US"/>
              </w:rPr>
            </w:pPr>
            <w:r>
              <w:rPr>
                <w:rFonts w:hint="eastAsia" w:ascii="Times New Roman" w:hAnsi="Times New Roman" w:cs="Times New Roman"/>
                <w:color w:val="auto"/>
                <w:sz w:val="24"/>
                <w:lang w:val="en-US" w:eastAsia="zh-CN"/>
              </w:rPr>
              <w:t>项目产生医疗废物</w:t>
            </w:r>
            <w:r>
              <w:rPr>
                <w:rFonts w:hint="default" w:ascii="Times New Roman" w:hAnsi="Times New Roman" w:cs="Times New Roman"/>
                <w:color w:val="auto"/>
                <w:sz w:val="24"/>
              </w:rPr>
              <w:t>主要包括</w:t>
            </w:r>
            <w:r>
              <w:rPr>
                <w:rFonts w:hint="default" w:ascii="Times New Roman" w:hAnsi="Times New Roman" w:cs="Times New Roman"/>
                <w:color w:val="auto"/>
                <w:sz w:val="24"/>
                <w:highlight w:val="none"/>
              </w:rPr>
              <w:t>医院感染性废物、病理性废物、损伤性</w:t>
            </w:r>
            <w:r>
              <w:rPr>
                <w:rFonts w:hint="eastAsia" w:cs="Times New Roman"/>
                <w:color w:val="auto"/>
                <w:sz w:val="24"/>
                <w:highlight w:val="none"/>
                <w:lang w:eastAsia="zh-CN"/>
              </w:rPr>
              <w:t>、</w:t>
            </w:r>
            <w:r>
              <w:rPr>
                <w:rFonts w:hint="eastAsia" w:cs="Times New Roman"/>
                <w:color w:val="auto"/>
                <w:sz w:val="24"/>
                <w:highlight w:val="none"/>
                <w:lang w:val="en-US" w:eastAsia="zh-CN"/>
              </w:rPr>
              <w:t>药物性</w:t>
            </w:r>
            <w:r>
              <w:rPr>
                <w:rFonts w:hint="default" w:ascii="Times New Roman" w:hAnsi="Times New Roman" w:cs="Times New Roman"/>
                <w:color w:val="auto"/>
                <w:sz w:val="24"/>
                <w:highlight w:val="none"/>
              </w:rPr>
              <w:t>废物</w:t>
            </w:r>
            <w:r>
              <w:rPr>
                <w:rFonts w:hint="default" w:ascii="Times New Roman" w:hAnsi="Times New Roman" w:cs="Times New Roman"/>
                <w:color w:val="auto"/>
                <w:sz w:val="24"/>
              </w:rPr>
              <w:t>。若医疗废物处置不当，将造成环境污染和人群感染事故发生。本项目医疗废物经项目建设的医疗废物暂存间进行暂存，</w:t>
            </w:r>
            <w:r>
              <w:rPr>
                <w:rFonts w:hint="eastAsia" w:ascii="Times New Roman" w:hAnsi="Times New Roman" w:cs="Times New Roman"/>
                <w:color w:val="auto"/>
                <w:sz w:val="24"/>
                <w:lang w:val="en-US" w:eastAsia="zh-CN"/>
              </w:rPr>
              <w:t>定期委托</w:t>
            </w:r>
            <w:r>
              <w:rPr>
                <w:rFonts w:hint="eastAsia"/>
                <w:color w:val="auto"/>
                <w:sz w:val="24"/>
                <w:szCs w:val="24"/>
                <w:lang w:val="en-US" w:eastAsia="zh-CN"/>
              </w:rPr>
              <w:t>资质单位处置，1天清运一次</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对环境污染及人群感染风险影响不大。</w:t>
            </w:r>
          </w:p>
          <w:p>
            <w:pPr>
              <w:bidi w:val="0"/>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5、风险防范与应急措施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医院外购的酒精需规范存放于药品库，储存方式：酒精需储存于阴凉、通风房间内。远离火种、热源。温度不宜超过30℃。防止阳光直射。保持容器密封。应与氧化剂分开存放。储存间内的照明、通风等设施应采用防爆型，开关设在房外。配备相应品种和数量的消防器材。禁止使用易产生火花的机械设备和工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氧气瓶存放于氧气室，派专人定期进行巡检，房门上锁，开窗通风。日常使用过程中加强维护保养，特别检查阀门是否完好，有无泄漏情况，内压是否稳定等。加强管理，严禁将氧气瓶放置在有火源、高温、有易燃易爆物品处，氧气瓶旁严禁吸烟、使用火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柴油采用桶装，存放于发电机房，地面为混凝土硬化地面，房门上锁。在发电机房内设立禁止吸烟、禁止烟火标识，严禁存放火种、易燃易爆物，远离热源；按照《建筑灭火器配置设计规范》的相关规定配置一定数量灭火器材并保持有效状态，加强对职工的教育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④含氯消毒片储存于阴凉、干燥、通风良好的库房。远离热源、火种，防止阳光直射。包装必须密封，切勿受潮。应与还原剂、碱类等分开存放，切忌混储。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⑤卫生院在东南侧设置有微型消防站，配备有消防水带，灭火器，呼吸器、防护服等消防器材。</w:t>
            </w:r>
          </w:p>
          <w:p>
            <w:pPr>
              <w:pStyle w:val="16"/>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cs="Times New Roman"/>
                <w:color w:val="auto"/>
                <w:sz w:val="24"/>
                <w:szCs w:val="24"/>
                <w:highlight w:val="none"/>
                <w:lang w:val="en-US" w:eastAsia="zh-CN"/>
              </w:rPr>
            </w:pPr>
            <w:r>
              <w:rPr>
                <w:rFonts w:hint="eastAsia" w:ascii="宋体" w:hAnsi="宋体" w:eastAsia="宋体" w:cs="宋体"/>
                <w:color w:val="auto"/>
                <w:sz w:val="24"/>
                <w:lang w:val="en-US" w:eastAsia="zh-CN"/>
              </w:rPr>
              <w:t>⑥</w:t>
            </w:r>
            <w:r>
              <w:rPr>
                <w:rFonts w:hint="default" w:ascii="Times New Roman" w:hAnsi="Times New Roman" w:cs="Times New Roman"/>
                <w:color w:val="auto"/>
                <w:sz w:val="24"/>
                <w:szCs w:val="24"/>
                <w:highlight w:val="none"/>
              </w:rPr>
              <w:t>医疗废物</w:t>
            </w:r>
            <w:r>
              <w:rPr>
                <w:rFonts w:hint="eastAsia" w:ascii="Times New Roman" w:hAnsi="Times New Roman" w:cs="Times New Roman"/>
                <w:color w:val="auto"/>
                <w:sz w:val="24"/>
                <w:szCs w:val="24"/>
                <w:highlight w:val="none"/>
                <w:lang w:val="en-US" w:eastAsia="zh-CN"/>
              </w:rPr>
              <w:t>收集及暂存</w:t>
            </w:r>
            <w:r>
              <w:rPr>
                <w:rFonts w:hint="default" w:ascii="Times New Roman" w:hAnsi="Times New Roman" w:cs="Times New Roman"/>
                <w:color w:val="auto"/>
                <w:sz w:val="24"/>
                <w:szCs w:val="24"/>
                <w:highlight w:val="none"/>
                <w:lang w:val="en-US" w:eastAsia="zh-CN"/>
              </w:rPr>
              <w:t>风险防范措施</w:t>
            </w:r>
            <w:r>
              <w:rPr>
                <w:rFonts w:hint="eastAsia" w:ascii="Times New Roman" w:hAnsi="Times New Roman" w:cs="Times New Roman"/>
                <w:color w:val="auto"/>
                <w:sz w:val="24"/>
                <w:szCs w:val="24"/>
                <w:highlight w:val="none"/>
                <w:lang w:val="en-US" w:eastAsia="zh-CN"/>
              </w:rPr>
              <w:t xml:space="preserve">  </w:t>
            </w:r>
          </w:p>
          <w:p>
            <w:pPr>
              <w:pStyle w:val="16"/>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color w:val="auto"/>
                <w:spacing w:val="1"/>
                <w:sz w:val="24"/>
                <w:highlight w:val="none"/>
              </w:rPr>
            </w:pPr>
            <w:r>
              <w:rPr>
                <w:rFonts w:hint="eastAsia" w:ascii="宋体" w:hAnsi="宋体" w:eastAsia="宋体" w:cs="宋体"/>
                <w:b w:val="0"/>
                <w:bCs w:val="0"/>
                <w:color w:val="auto"/>
                <w:sz w:val="24"/>
                <w:szCs w:val="24"/>
                <w:lang w:val="en-US" w:eastAsia="zh-CN"/>
              </w:rPr>
              <w:t>a</w:t>
            </w:r>
            <w:r>
              <w:rPr>
                <w:rFonts w:hint="eastAsia" w:ascii="宋体" w:hAnsi="宋体" w:cs="宋体"/>
                <w:b w:val="0"/>
                <w:bCs w:val="0"/>
                <w:color w:val="auto"/>
                <w:sz w:val="24"/>
                <w:szCs w:val="24"/>
                <w:lang w:val="en-US" w:eastAsia="zh-CN"/>
              </w:rPr>
              <w:t>.</w:t>
            </w:r>
            <w:r>
              <w:rPr>
                <w:rFonts w:hint="eastAsia" w:ascii="Times New Roman" w:hAnsi="Times New Roman" w:cs="Times New Roman"/>
                <w:color w:val="auto"/>
                <w:sz w:val="24"/>
                <w:lang w:eastAsia="zh-CN"/>
              </w:rPr>
              <w:t>医疗废物暂存间</w:t>
            </w:r>
            <w:r>
              <w:rPr>
                <w:rFonts w:hint="default" w:ascii="Times New Roman" w:hAnsi="Times New Roman" w:cs="Times New Roman"/>
                <w:color w:val="auto"/>
                <w:sz w:val="24"/>
              </w:rPr>
              <w:t>做好防渗、防雨、防泄漏等措施，</w:t>
            </w:r>
            <w:r>
              <w:rPr>
                <w:rFonts w:hint="eastAsia" w:ascii="Times New Roman" w:hAnsi="Times New Roman" w:cs="Times New Roman"/>
                <w:color w:val="auto"/>
                <w:sz w:val="24"/>
                <w:lang w:eastAsia="zh-CN"/>
              </w:rPr>
              <w:t>医疗废物暂存间</w:t>
            </w:r>
            <w:r>
              <w:rPr>
                <w:rFonts w:hint="default" w:ascii="Times New Roman" w:hAnsi="Times New Roman" w:cs="Times New Roman"/>
                <w:color w:val="auto"/>
                <w:sz w:val="24"/>
              </w:rPr>
              <w:t>内设置医废收集桶收集医疗废物，医疗废物不直接堆放在暂存间地面上。</w:t>
            </w:r>
          </w:p>
          <w:p>
            <w:pPr>
              <w:adjustRightInd w:val="0"/>
              <w:snapToGrid w:val="0"/>
              <w:spacing w:line="360" w:lineRule="auto"/>
              <w:ind w:firstLine="480" w:firstLineChars="200"/>
              <w:rPr>
                <w:rFonts w:hint="default" w:ascii="Times New Roman" w:hAnsi="Times New Roman" w:cs="Times New Roman"/>
                <w:color w:val="auto"/>
                <w:sz w:val="24"/>
              </w:rPr>
            </w:pPr>
            <w:r>
              <w:rPr>
                <w:rFonts w:hint="eastAsia" w:ascii="宋体" w:hAnsi="宋体" w:eastAsia="宋体" w:cs="宋体"/>
                <w:b w:val="0"/>
                <w:bCs w:val="0"/>
                <w:color w:val="auto"/>
                <w:sz w:val="24"/>
                <w:szCs w:val="24"/>
                <w:lang w:val="en-US" w:eastAsia="zh-CN"/>
              </w:rPr>
              <w:t>b</w:t>
            </w:r>
            <w:r>
              <w:rPr>
                <w:rFonts w:hint="eastAsia" w:ascii="宋体" w:hAnsi="宋体" w:cs="宋体"/>
                <w:b w:val="0"/>
                <w:bCs w:val="0"/>
                <w:color w:val="auto"/>
                <w:sz w:val="24"/>
                <w:szCs w:val="24"/>
                <w:lang w:val="en-US" w:eastAsia="zh-CN"/>
              </w:rPr>
              <w:t>.</w:t>
            </w:r>
            <w:r>
              <w:rPr>
                <w:rFonts w:hint="default" w:ascii="Times New Roman" w:hAnsi="Times New Roman" w:cs="Times New Roman"/>
                <w:b w:val="0"/>
                <w:bCs w:val="0"/>
                <w:color w:val="auto"/>
                <w:sz w:val="24"/>
              </w:rPr>
              <w:t>医疗废物暂存</w:t>
            </w:r>
            <w:r>
              <w:rPr>
                <w:rFonts w:hint="eastAsia" w:ascii="Times New Roman" w:hAnsi="Times New Roman" w:cs="Times New Roman"/>
                <w:b w:val="0"/>
                <w:bCs w:val="0"/>
                <w:color w:val="auto"/>
                <w:sz w:val="24"/>
                <w:lang w:val="en-US" w:eastAsia="zh-CN"/>
              </w:rPr>
              <w:t>间的建设及医疗废物暂存应严格按照</w:t>
            </w:r>
            <w:r>
              <w:rPr>
                <w:rFonts w:hint="default" w:ascii="Times New Roman" w:hAnsi="Times New Roman" w:cs="Times New Roman"/>
                <w:color w:val="auto"/>
                <w:sz w:val="24"/>
              </w:rPr>
              <w:t>《医疗废物集中处置技术规范（试行）》规定</w:t>
            </w:r>
            <w:r>
              <w:rPr>
                <w:rFonts w:hint="eastAsia" w:ascii="Times New Roman" w:hAnsi="Times New Roman" w:cs="Times New Roman"/>
                <w:color w:val="auto"/>
                <w:sz w:val="24"/>
                <w:lang w:val="en-US" w:eastAsia="zh-CN"/>
              </w:rPr>
              <w:t>执行，产生的医疗废物定期委托</w:t>
            </w:r>
            <w:r>
              <w:rPr>
                <w:rFonts w:hint="eastAsia" w:cs="Times New Roman"/>
                <w:color w:val="auto"/>
                <w:sz w:val="24"/>
                <w:lang w:val="en-US" w:eastAsia="zh-CN"/>
              </w:rPr>
              <w:t>资质单位</w:t>
            </w:r>
            <w:r>
              <w:rPr>
                <w:rFonts w:hint="eastAsia"/>
                <w:color w:val="auto"/>
                <w:sz w:val="24"/>
                <w:szCs w:val="24"/>
                <w:lang w:val="en-US" w:eastAsia="zh-CN"/>
              </w:rPr>
              <w:t>清运处置</w:t>
            </w:r>
            <w:r>
              <w:rPr>
                <w:rFonts w:hint="default" w:ascii="Times New Roman" w:hAnsi="Times New Roman" w:cs="Times New Roman"/>
                <w:color w:val="auto"/>
                <w:sz w:val="24"/>
              </w:rPr>
              <w:t>。</w:t>
            </w:r>
          </w:p>
          <w:p>
            <w:pPr>
              <w:pStyle w:val="16"/>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cs="Times New Roman"/>
                <w:color w:val="auto"/>
                <w:sz w:val="24"/>
                <w:szCs w:val="24"/>
                <w:highlight w:val="none"/>
                <w:lang w:val="en-US" w:eastAsia="zh-CN"/>
              </w:rPr>
            </w:pPr>
            <w:r>
              <w:rPr>
                <w:rFonts w:hint="eastAsia" w:ascii="宋体" w:hAnsi="宋体" w:eastAsia="宋体" w:cs="宋体"/>
                <w:b w:val="0"/>
                <w:bCs w:val="0"/>
                <w:color w:val="auto"/>
                <w:sz w:val="24"/>
                <w:szCs w:val="24"/>
                <w:lang w:val="en-US" w:eastAsia="zh-CN"/>
              </w:rPr>
              <w:t>c</w:t>
            </w:r>
            <w:r>
              <w:rPr>
                <w:rFonts w:hint="eastAsia" w:ascii="宋体" w:hAnsi="宋体" w:cs="宋体"/>
                <w:b w:val="0"/>
                <w:bCs w:val="0"/>
                <w:color w:val="auto"/>
                <w:sz w:val="24"/>
                <w:szCs w:val="24"/>
                <w:lang w:val="en-US" w:eastAsia="zh-CN"/>
              </w:rPr>
              <w:t>.</w:t>
            </w:r>
            <w:r>
              <w:rPr>
                <w:rFonts w:hint="default" w:ascii="Times New Roman" w:hAnsi="Times New Roman" w:cs="Times New Roman"/>
                <w:color w:val="auto"/>
                <w:sz w:val="24"/>
                <w:szCs w:val="24"/>
                <w:highlight w:val="none"/>
                <w:lang w:val="en-US" w:eastAsia="zh-CN"/>
              </w:rPr>
              <w:t>医院及时收集本单位产生的医疗废物，并按照类别分置于防渗漏、防锐器穿透的专用包装物或者密闭的容器内，收集时严防漏和违反操作规程，医疗废物专用包装物、容器应当有明显的警示标志和警示说明，医院应当建立医疗废物的临时贮存设施和设备，不得露天存放医疗废物</w:t>
            </w:r>
            <w:r>
              <w:rPr>
                <w:rFonts w:hint="eastAsia" w:ascii="Times New Roman" w:hAnsi="Times New Roman" w:cs="Times New Roman"/>
                <w:color w:val="auto"/>
                <w:sz w:val="24"/>
                <w:szCs w:val="24"/>
                <w:highlight w:val="none"/>
                <w:lang w:val="en-US" w:eastAsia="zh-CN"/>
              </w:rPr>
              <w:t>。</w:t>
            </w:r>
          </w:p>
          <w:p>
            <w:pPr>
              <w:spacing w:line="360" w:lineRule="auto"/>
              <w:ind w:firstLine="48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⑦废水事故排放风险防范措施</w:t>
            </w:r>
          </w:p>
          <w:p>
            <w:pPr>
              <w:spacing w:line="360" w:lineRule="auto"/>
              <w:ind w:firstLine="48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院内的污水处理设施必须设置备用电源，保证在市政电网停电状况下能够使污水站正常运行</w:t>
            </w:r>
            <w:r>
              <w:rPr>
                <w:rFonts w:hint="eastAsia" w:ascii="宋体" w:hAnsi="宋体" w:cs="宋体"/>
                <w:b w:val="0"/>
                <w:bCs w:val="0"/>
                <w:color w:val="auto"/>
                <w:sz w:val="24"/>
                <w:szCs w:val="24"/>
                <w:lang w:val="en-US" w:eastAsia="zh-CN"/>
              </w:rPr>
              <w:t>。</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b</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处理站工作人员应定期检查污水处理设备和其它处理设施，做好日常的维护、检修及保养工作，发现问题及时解决，确保院内的污水处理站发挥正常的工作效率，使其稳定有效运行，避免出现院内废水的事故性排放</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 xml:space="preserve"> </w:t>
            </w:r>
          </w:p>
          <w:p>
            <w:pPr>
              <w:spacing w:line="360" w:lineRule="auto"/>
              <w:ind w:firstLine="480" w:firstLineChars="200"/>
              <w:rPr>
                <w:rFonts w:hint="eastAsia"/>
                <w:color w:val="auto"/>
                <w:lang w:val="en-US" w:eastAsia="zh-CN"/>
              </w:rPr>
            </w:pPr>
            <w:r>
              <w:rPr>
                <w:rFonts w:hint="eastAsia" w:ascii="宋体" w:hAnsi="宋体" w:eastAsia="宋体" w:cs="宋体"/>
                <w:b w:val="0"/>
                <w:bCs w:val="0"/>
                <w:color w:val="auto"/>
                <w:sz w:val="24"/>
                <w:szCs w:val="24"/>
                <w:lang w:val="en-US" w:eastAsia="zh-CN"/>
              </w:rPr>
              <w:t>c</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污水处理设备出现故障后，停止进水，暂存化粪池及</w:t>
            </w:r>
            <w:r>
              <w:rPr>
                <w:rFonts w:hint="eastAsia" w:ascii="宋体" w:hAnsi="宋体" w:cs="宋体"/>
                <w:b w:val="0"/>
                <w:bCs w:val="0"/>
                <w:color w:val="auto"/>
                <w:sz w:val="24"/>
                <w:szCs w:val="24"/>
                <w:lang w:val="en-US" w:eastAsia="zh-CN"/>
              </w:rPr>
              <w:t>3m³</w:t>
            </w:r>
            <w:r>
              <w:rPr>
                <w:rFonts w:hint="eastAsia" w:ascii="宋体" w:hAnsi="宋体" w:eastAsia="宋体" w:cs="宋体"/>
                <w:b w:val="0"/>
                <w:bCs w:val="0"/>
                <w:color w:val="auto"/>
                <w:sz w:val="24"/>
                <w:szCs w:val="24"/>
                <w:lang w:val="en-US" w:eastAsia="zh-CN"/>
              </w:rPr>
              <w:t>事故池。根据维修情况，通知勐海县污水处理厂采用罐车对项目产生的废水进行清运。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⑧</w:t>
            </w:r>
            <w:r>
              <w:rPr>
                <w:rFonts w:hint="eastAsia" w:ascii="宋体" w:hAnsi="宋体" w:eastAsia="宋体" w:cs="宋体"/>
                <w:color w:val="auto"/>
                <w:sz w:val="24"/>
                <w:szCs w:val="24"/>
                <w:highlight w:val="none"/>
              </w:rPr>
              <w:t>建设</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应按照环发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2015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4号文《企业事业单位突发环境事件应急预案备案管理办法（试行）》中的</w:t>
            </w:r>
            <w:r>
              <w:rPr>
                <w:rFonts w:hint="eastAsia" w:ascii="宋体" w:hAnsi="宋体" w:eastAsia="宋体" w:cs="宋体"/>
                <w:color w:val="auto"/>
                <w:sz w:val="24"/>
                <w:szCs w:val="24"/>
                <w:highlight w:val="none"/>
                <w:lang w:val="en-US" w:eastAsia="zh-CN"/>
              </w:rPr>
              <w:t>相关</w:t>
            </w:r>
            <w:r>
              <w:rPr>
                <w:rFonts w:hint="eastAsia" w:ascii="宋体" w:hAnsi="宋体" w:eastAsia="宋体" w:cs="宋体"/>
                <w:color w:val="auto"/>
                <w:sz w:val="24"/>
                <w:szCs w:val="24"/>
                <w:highlight w:val="none"/>
              </w:rPr>
              <w:t>要求编制应急预案，报</w:t>
            </w:r>
            <w:r>
              <w:rPr>
                <w:rFonts w:hint="eastAsia" w:ascii="宋体" w:hAnsi="宋体" w:eastAsia="宋体" w:cs="宋体"/>
                <w:color w:val="auto"/>
                <w:sz w:val="24"/>
                <w:szCs w:val="24"/>
                <w:highlight w:val="none"/>
                <w:lang w:val="en-US" w:eastAsia="zh-CN"/>
              </w:rPr>
              <w:t>勐海县环保局</w:t>
            </w:r>
            <w:r>
              <w:rPr>
                <w:rFonts w:hint="eastAsia" w:ascii="宋体" w:hAnsi="宋体" w:eastAsia="宋体" w:cs="宋体"/>
                <w:color w:val="auto"/>
                <w:sz w:val="24"/>
                <w:szCs w:val="24"/>
                <w:highlight w:val="none"/>
              </w:rPr>
              <w:t>进行备案。同时在项目运营过程中，严格按照风险应急预案的要求做好相关预防工作，并做好相应应急准备工作。</w:t>
            </w:r>
          </w:p>
          <w:p>
            <w:pPr>
              <w:bidi w:val="0"/>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6、环境风险评价结论</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在运营过程中会存在一定的环境风险，对此，建设单位必须引起高度重视，做好风险防范工作，严格落实各项风险防范措施，不断完善风险管理体系，做到有效降低风险事故发生概率、杜绝重大事故的发生。因此，只要严格遵守各项规程，加强安全管理，本项目的环境风险是可以承受的。</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val="en-US" w:eastAsia="zh-CN" w:bidi="ar"/>
              </w:rPr>
              <w:t>表4-18   建设项目环境风险简单分析内容表</w:t>
            </w:r>
          </w:p>
          <w:tbl>
            <w:tblPr>
              <w:tblStyle w:val="2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412"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建设项目名称</w:t>
                  </w:r>
                </w:p>
              </w:tc>
              <w:tc>
                <w:tcPr>
                  <w:tcW w:w="6521"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勐海县勐海镇卫生院建设项目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建设地点</w:t>
                  </w:r>
                </w:p>
              </w:tc>
              <w:tc>
                <w:tcPr>
                  <w:tcW w:w="6521"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云南省西双版纳傣族自治州勐海县勐海镇佛双路 35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412"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地理坐标</w:t>
                  </w:r>
                </w:p>
              </w:tc>
              <w:tc>
                <w:tcPr>
                  <w:tcW w:w="6521"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东经100°26′28.695″，北纬21°57′15.818″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主要危险物质及分布</w:t>
                  </w:r>
                </w:p>
              </w:tc>
              <w:tc>
                <w:tcPr>
                  <w:tcW w:w="6521"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备用发电机房、氧气房、药品仓库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环境影响途径及危害后果（大气、地表水、地下水等）</w:t>
                  </w:r>
                </w:p>
              </w:tc>
              <w:tc>
                <w:tcPr>
                  <w:tcW w:w="6521" w:type="dxa"/>
                  <w:vAlign w:val="center"/>
                </w:tcPr>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（1）泄漏事故</w:t>
                  </w:r>
                </w:p>
                <w:p>
                  <w:pPr>
                    <w:bidi w:val="0"/>
                    <w:spacing w:line="240" w:lineRule="auto"/>
                    <w:ind w:firstLine="360" w:firstLineChars="2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1）柴油泄漏</w:t>
                  </w:r>
                </w:p>
                <w:p>
                  <w:pPr>
                    <w:bidi w:val="0"/>
                    <w:spacing w:line="240" w:lineRule="auto"/>
                    <w:ind w:firstLine="360" w:firstLineChars="2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柴油泄漏后会进入地表水，随地表水扩散，污染地表水体。</w:t>
                  </w:r>
                </w:p>
                <w:p>
                  <w:pPr>
                    <w:bidi w:val="0"/>
                    <w:spacing w:line="240" w:lineRule="auto"/>
                    <w:ind w:firstLine="360" w:firstLineChars="2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2）酒精泄漏</w:t>
                  </w:r>
                </w:p>
                <w:p>
                  <w:pPr>
                    <w:bidi w:val="0"/>
                    <w:spacing w:line="240" w:lineRule="auto"/>
                    <w:ind w:firstLine="360" w:firstLineChars="2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酒精泄漏后进入水体中会对水体造成污染，酒精蒸汽有刺鼻性气味，造成人体不适。</w:t>
                  </w:r>
                </w:p>
                <w:p>
                  <w:pPr>
                    <w:bidi w:val="0"/>
                    <w:spacing w:line="240" w:lineRule="auto"/>
                    <w:ind w:firstLine="360" w:firstLineChars="2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3）氧气泄漏</w:t>
                  </w:r>
                </w:p>
                <w:p>
                  <w:pPr>
                    <w:bidi w:val="0"/>
                    <w:spacing w:line="240" w:lineRule="auto"/>
                    <w:ind w:firstLine="360" w:firstLineChars="2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氧气泄漏会造成泄漏点局部空间氧含量过高，若遇火源会引起火灾、爆炸。</w:t>
                  </w:r>
                </w:p>
                <w:p>
                  <w:pPr>
                    <w:bidi w:val="0"/>
                    <w:spacing w:line="240" w:lineRule="auto"/>
                    <w:ind w:firstLine="360" w:firstLineChars="2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（2）火灾、爆炸</w:t>
                  </w:r>
                </w:p>
                <w:p>
                  <w:pPr>
                    <w:bidi w:val="0"/>
                    <w:spacing w:line="240" w:lineRule="auto"/>
                    <w:ind w:firstLine="360" w:firstLineChars="2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燃烧产生的废气通过大气环境扩散，污染周边大气环境；爆炸导致污染物进入水体，通过水体扩散，污染地表水体。</w:t>
                  </w:r>
                </w:p>
                <w:p>
                  <w:pPr>
                    <w:bidi w:val="0"/>
                    <w:spacing w:line="240" w:lineRule="auto"/>
                    <w:ind w:firstLine="360" w:firstLineChars="2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 xml:space="preserve">（3）废水事故外排风险分析 </w:t>
                  </w:r>
                </w:p>
                <w:p>
                  <w:pPr>
                    <w:bidi w:val="0"/>
                    <w:spacing w:line="240" w:lineRule="auto"/>
                    <w:ind w:firstLine="360" w:firstLineChars="2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污水处理站设备故障导致达不到处理效率，废水超标排入市政污水管网，会对勐海县污水处理厂处理</w:t>
                  </w:r>
                  <w:r>
                    <w:rPr>
                      <w:rFonts w:hint="eastAsia" w:ascii="宋体" w:hAnsi="宋体" w:cs="宋体"/>
                      <w:color w:val="auto"/>
                      <w:sz w:val="18"/>
                      <w:szCs w:val="18"/>
                      <w:vertAlign w:val="baseline"/>
                      <w:lang w:val="en-US" w:eastAsia="zh-CN"/>
                    </w:rPr>
                    <w:t>工况</w:t>
                  </w:r>
                  <w:r>
                    <w:rPr>
                      <w:rFonts w:hint="eastAsia" w:ascii="宋体" w:hAnsi="宋体" w:eastAsia="宋体" w:cs="宋体"/>
                      <w:color w:val="auto"/>
                      <w:sz w:val="18"/>
                      <w:szCs w:val="18"/>
                      <w:vertAlign w:val="baseline"/>
                      <w:lang w:val="en-US" w:eastAsia="zh-CN"/>
                    </w:rPr>
                    <w:t>造成波动。若污水池破损导致废水渗漏，会污染地下水及土壤。</w:t>
                  </w:r>
                </w:p>
                <w:p>
                  <w:pPr>
                    <w:bidi w:val="0"/>
                    <w:spacing w:line="240" w:lineRule="auto"/>
                    <w:ind w:firstLine="0" w:firstLineChars="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 xml:space="preserve">   （4）医疗废物暂存过程风险分析</w:t>
                  </w:r>
                </w:p>
                <w:p>
                  <w:pPr>
                    <w:bidi w:val="0"/>
                    <w:spacing w:line="240" w:lineRule="auto"/>
                    <w:ind w:firstLine="360" w:firstLineChars="200"/>
                    <w:jc w:val="left"/>
                    <w:rPr>
                      <w:rFonts w:hint="eastAsia"/>
                      <w:color w:val="auto"/>
                      <w:sz w:val="18"/>
                      <w:szCs w:val="18"/>
                      <w:lang w:val="en-US" w:eastAsia="zh-CN"/>
                    </w:rPr>
                  </w:pPr>
                  <w:r>
                    <w:rPr>
                      <w:rFonts w:hint="eastAsia" w:ascii="宋体" w:hAnsi="宋体" w:eastAsia="宋体" w:cs="宋体"/>
                      <w:color w:val="auto"/>
                      <w:sz w:val="18"/>
                      <w:szCs w:val="18"/>
                      <w:vertAlign w:val="baseline"/>
                      <w:lang w:val="en-US" w:eastAsia="zh-CN"/>
                    </w:rPr>
                    <w:t>项目产生医疗废物主要包括医院感染性废物、病理性废物、损伤性</w:t>
                  </w:r>
                  <w:r>
                    <w:rPr>
                      <w:rFonts w:hint="eastAsia" w:ascii="宋体" w:hAnsi="宋体" w:cs="宋体"/>
                      <w:color w:val="auto"/>
                      <w:sz w:val="18"/>
                      <w:szCs w:val="18"/>
                      <w:vertAlign w:val="baseline"/>
                      <w:lang w:val="en-US" w:eastAsia="zh-CN"/>
                    </w:rPr>
                    <w:t>、药物性</w:t>
                  </w:r>
                  <w:r>
                    <w:rPr>
                      <w:rFonts w:hint="eastAsia" w:ascii="宋体" w:hAnsi="宋体" w:eastAsia="宋体" w:cs="宋体"/>
                      <w:color w:val="auto"/>
                      <w:sz w:val="18"/>
                      <w:szCs w:val="18"/>
                      <w:vertAlign w:val="baseline"/>
                      <w:lang w:val="en-US" w:eastAsia="zh-CN"/>
                    </w:rPr>
                    <w:t>废物。若医疗废物处置不当，将造成环境污染和人群感染事故发生。本项目医疗废物经项目建设的医疗废物暂存间进行暂存，定期委托资质单位处置，</w:t>
                  </w:r>
                  <w:r>
                    <w:rPr>
                      <w:rFonts w:hint="eastAsia" w:ascii="宋体" w:hAnsi="宋体" w:cs="宋体"/>
                      <w:color w:val="auto"/>
                      <w:sz w:val="18"/>
                      <w:szCs w:val="18"/>
                      <w:vertAlign w:val="baseline"/>
                      <w:lang w:val="en-US" w:eastAsia="zh-CN"/>
                    </w:rPr>
                    <w:t>1</w:t>
                  </w:r>
                  <w:r>
                    <w:rPr>
                      <w:rFonts w:hint="eastAsia" w:ascii="宋体" w:hAnsi="宋体" w:eastAsia="宋体" w:cs="宋体"/>
                      <w:color w:val="auto"/>
                      <w:sz w:val="18"/>
                      <w:szCs w:val="18"/>
                      <w:vertAlign w:val="baseline"/>
                      <w:lang w:val="en-US" w:eastAsia="zh-CN"/>
                    </w:rPr>
                    <w:t>天清运一次。对环境污染及人群感染风险影响不大。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风险防范措施要求</w:t>
                  </w:r>
                </w:p>
              </w:tc>
              <w:tc>
                <w:tcPr>
                  <w:tcW w:w="6521" w:type="dxa"/>
                  <w:vAlign w:val="center"/>
                </w:tcPr>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①医院外购的酒精需规范存放于药品库，储存方式：酒精需储存于阴凉、通风房间内。远离火种、热源。温度不宜超过30℃。防止阳光直射。保持容器密封。应与氧化剂分开存放。储存间内的照明、通风等设施应采用防爆型，开关设在房外。配备相应品种和数量的消防器材。禁止使用易产生火花的机械设备和工具。</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②氧气瓶存放于氧气室，派专人定期进行巡检，房门上锁，开窗通风。日常使用过程中加强维护保养，特别检查阀门是否完好，有无泄漏情况，内压是否稳定等。加强管理，严禁将氧气瓶放置在有火源、高温、有易燃易爆物品处，氧气瓶旁严禁吸烟、使用火源。</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③柴油采用桶装，存放于发电机房，地面为混凝土硬化地面，房门上锁。在发电机房内设立禁止吸烟、禁止烟火标识，严禁存放火种、易燃易爆物，远离热源；按照《建筑灭火器配置设计规范》的相关规定配置一定数量灭火器材并保持有效状态，加强对职工的教育培训。</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④含氯消毒片储存于阴凉、干燥、通风良好的库房。远离热源、火种，防止阳光直射。包装必须密封，切勿受潮。应与还原剂、碱类等分开存放，切忌混储。</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⑤卫生院在东南侧设置有微型消防站，配备有消防水带，灭火器，呼吸器、防护服等消防器材。</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 xml:space="preserve">⑥医疗废物收集及暂存风险防范措施  </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a.医疗废物暂存间做好防渗、防雨、防泄漏等措施，医疗废物暂存间内设置医废收集桶收集医疗废物，医疗废物不直接堆放在暂存间地面上。</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b.医疗废物暂存间的建设及医疗废物暂存应严格按照《医疗废物集中处置技术规范（试行）》规定执行，产生的医疗废物定期委托资质单位清运处置。</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c.医院及时收集本单位产生的医疗废物，并按照类别分置于防渗漏、防锐器穿透的专用包装物或者密闭的容器内，收集时严防漏和违反操作规程，医疗废物专用包装物、容器应当有明显的警示标志和警示说明，医院应当建立医疗废物的临时贮存设施和设备，不得露天存放医疗废物。</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⑦废水事故排放风险防范措施</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a.院内的污水处理设施必须设置备用电源，保证在市政电网停电状况下能够使污水站正常运行。</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 xml:space="preserve">b.处理站工作人员应定期检查污水处理设备和其它处理设施，做好日常的维护、检修及保养工作，发现问题及时解决，确保院内的污水处理站发挥正常的工作效率，使其稳定有效运行，避免出现院内废水的事故性排放。 </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c.污水处理设备出现故障后，停止进水，暂存化粪池及事故池。根据维修情况，通知勐海县污水处理厂采用罐车对项目产生的废水进行清运。</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⑧建设单位应按照环发〔2015〕4号文《企业事业单位突发环境事件应急预案备案管理办法（试行）》中的相关要求编制应急预案，报勐海县环保局进行备案。同时在项目运营过程中，严格按照风险应急预案的要求做好相关预防工作，并做好相应应急准备工作。</w:t>
                  </w:r>
                </w:p>
                <w:p>
                  <w:pPr>
                    <w:bidi w:val="0"/>
                    <w:spacing w:line="240" w:lineRule="auto"/>
                    <w:ind w:firstLine="180" w:firstLineChars="100"/>
                    <w:jc w:val="left"/>
                    <w:rPr>
                      <w:rFonts w:hint="eastAsia" w:ascii="宋体" w:hAnsi="宋体" w:eastAsia="宋体" w:cs="宋体"/>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7933" w:type="dxa"/>
                  <w:gridSpan w:val="2"/>
                  <w:vAlign w:val="center"/>
                </w:tcPr>
                <w:p>
                  <w:pPr>
                    <w:bidi w:val="0"/>
                    <w:spacing w:line="240" w:lineRule="auto"/>
                    <w:ind w:firstLine="0" w:firstLineChars="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根据《建设项目环境风险评价技术导则》(HJ169-2018)，本项目风险潜势为</w:t>
                  </w:r>
                  <w:r>
                    <w:rPr>
                      <w:rFonts w:hint="eastAsia" w:ascii="宋体" w:hAnsi="宋体" w:eastAsia="宋体" w:cs="宋体"/>
                      <w:color w:val="auto"/>
                      <w:sz w:val="18"/>
                      <w:szCs w:val="18"/>
                      <w:vertAlign w:val="baseline"/>
                      <w:lang w:val="en-US" w:eastAsia="zh-CN"/>
                    </w:rPr>
                    <w:fldChar w:fldCharType="begin"/>
                  </w:r>
                  <w:r>
                    <w:rPr>
                      <w:rFonts w:hint="eastAsia" w:ascii="宋体" w:hAnsi="宋体" w:eastAsia="宋体" w:cs="宋体"/>
                      <w:color w:val="auto"/>
                      <w:sz w:val="18"/>
                      <w:szCs w:val="18"/>
                      <w:vertAlign w:val="baseline"/>
                      <w:lang w:val="en-US" w:eastAsia="zh-CN"/>
                    </w:rPr>
                    <w:instrText xml:space="preserve"> = 1 \* ROMAN </w:instrText>
                  </w:r>
                  <w:r>
                    <w:rPr>
                      <w:rFonts w:hint="eastAsia" w:ascii="宋体" w:hAnsi="宋体" w:eastAsia="宋体" w:cs="宋体"/>
                      <w:color w:val="auto"/>
                      <w:sz w:val="18"/>
                      <w:szCs w:val="18"/>
                      <w:vertAlign w:val="baseline"/>
                      <w:lang w:val="en-US" w:eastAsia="zh-CN"/>
                    </w:rPr>
                    <w:fldChar w:fldCharType="separate"/>
                  </w:r>
                  <w:r>
                    <w:rPr>
                      <w:rFonts w:hint="eastAsia" w:ascii="宋体" w:hAnsi="宋体" w:eastAsia="宋体" w:cs="宋体"/>
                      <w:color w:val="auto"/>
                      <w:sz w:val="18"/>
                      <w:szCs w:val="18"/>
                      <w:vertAlign w:val="baseline"/>
                      <w:lang w:val="en-US" w:eastAsia="zh-CN"/>
                    </w:rPr>
                    <w:t>I</w:t>
                  </w:r>
                  <w:r>
                    <w:rPr>
                      <w:rFonts w:hint="eastAsia" w:ascii="宋体" w:hAnsi="宋体" w:eastAsia="宋体" w:cs="宋体"/>
                      <w:color w:val="auto"/>
                      <w:sz w:val="18"/>
                      <w:szCs w:val="18"/>
                      <w:vertAlign w:val="baseline"/>
                      <w:lang w:val="en-US" w:eastAsia="zh-CN"/>
                    </w:rPr>
                    <w:fldChar w:fldCharType="end"/>
                  </w:r>
                  <w:r>
                    <w:rPr>
                      <w:rFonts w:hint="eastAsia" w:ascii="宋体" w:hAnsi="宋体" w:eastAsia="宋体" w:cs="宋体"/>
                      <w:color w:val="auto"/>
                      <w:sz w:val="18"/>
                      <w:szCs w:val="18"/>
                      <w:vertAlign w:val="baseline"/>
                      <w:lang w:val="en-US" w:eastAsia="zh-CN"/>
                    </w:rPr>
                    <w:t>，仅开展简单分析。</w:t>
                  </w:r>
                </w:p>
              </w:tc>
            </w:tr>
          </w:tbl>
          <w:p>
            <w:pPr>
              <w:spacing w:line="360" w:lineRule="auto"/>
              <w:rPr>
                <w:rFonts w:hint="eastAsia" w:ascii="宋体" w:hAnsi="宋体" w:eastAsia="宋体" w:cs="宋体"/>
                <w:b w:val="0"/>
                <w:bCs w:val="0"/>
                <w:color w:val="auto"/>
                <w:sz w:val="24"/>
                <w:szCs w:val="24"/>
                <w:lang w:val="en-US" w:eastAsia="zh-CN"/>
              </w:rPr>
            </w:pPr>
          </w:p>
        </w:tc>
      </w:tr>
    </w:tbl>
    <w:p>
      <w:pPr>
        <w:spacing w:line="360" w:lineRule="auto"/>
        <w:rPr>
          <w:rFonts w:hint="eastAsia" w:ascii="宋体" w:hAnsi="宋体" w:eastAsia="宋体" w:cs="宋体"/>
          <w:color w:val="auto"/>
          <w:sz w:val="24"/>
          <w:szCs w:val="24"/>
        </w:rPr>
        <w:sectPr>
          <w:pgSz w:w="11907" w:h="16840"/>
          <w:pgMar w:top="1701" w:right="1531" w:bottom="2127" w:left="1531" w:header="851" w:footer="851" w:gutter="0"/>
          <w:pgNumType w:fmt="decimal"/>
          <w:cols w:space="720" w:num="1"/>
          <w:docGrid w:linePitch="312" w:charSpace="0"/>
        </w:sectPr>
      </w:pPr>
    </w:p>
    <w:p>
      <w:pPr>
        <w:pStyle w:val="21"/>
        <w:jc w:val="center"/>
        <w:outlineLvl w:val="0"/>
        <w:rPr>
          <w:rFonts w:hint="eastAsia" w:ascii="宋体" w:hAnsi="宋体" w:eastAsia="宋体" w:cs="宋体"/>
          <w:snapToGrid w:val="0"/>
          <w:color w:val="auto"/>
          <w:sz w:val="32"/>
          <w:szCs w:val="32"/>
        </w:rPr>
      </w:pPr>
      <w:bookmarkStart w:id="55" w:name="_Toc9760"/>
      <w:bookmarkStart w:id="56" w:name="_Toc130"/>
      <w:bookmarkStart w:id="57" w:name="_Toc24202"/>
      <w:r>
        <w:rPr>
          <w:rFonts w:hint="eastAsia" w:ascii="宋体" w:hAnsi="宋体" w:eastAsia="宋体" w:cs="宋体"/>
          <w:snapToGrid w:val="0"/>
          <w:color w:val="auto"/>
          <w:sz w:val="32"/>
          <w:szCs w:val="32"/>
        </w:rPr>
        <w:t>五、</w:t>
      </w:r>
      <w:bookmarkStart w:id="58" w:name="_Hlk54167917"/>
      <w:r>
        <w:rPr>
          <w:rFonts w:hint="eastAsia" w:ascii="宋体" w:hAnsi="宋体" w:eastAsia="宋体" w:cs="宋体"/>
          <w:snapToGrid w:val="0"/>
          <w:color w:val="auto"/>
          <w:sz w:val="32"/>
          <w:szCs w:val="32"/>
        </w:rPr>
        <w:t>环境保护措施监督检查清单</w:t>
      </w:r>
      <w:bookmarkEnd w:id="55"/>
      <w:bookmarkEnd w:id="56"/>
      <w:bookmarkEnd w:id="57"/>
      <w:bookmarkEnd w:id="58"/>
    </w:p>
    <w:tbl>
      <w:tblPr>
        <w:tblStyle w:val="26"/>
        <w:tblW w:w="88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238"/>
        <w:gridCol w:w="1963"/>
        <w:gridCol w:w="2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8" w:type="dxa"/>
            <w:tcBorders>
              <w:tl2br w:val="single" w:color="auto" w:sz="4" w:space="0"/>
            </w:tcBorders>
            <w:vAlign w:val="top"/>
          </w:tcPr>
          <w:p>
            <w:pPr>
              <w:adjustRightInd w:val="0"/>
              <w:snapToGrid w:val="0"/>
              <w:ind w:firstLine="840"/>
              <w:rPr>
                <w:rFonts w:hint="eastAsia" w:ascii="宋体" w:hAnsi="宋体" w:eastAsia="宋体" w:cs="宋体"/>
                <w:color w:val="auto"/>
                <w:sz w:val="21"/>
                <w:szCs w:val="21"/>
              </w:rPr>
            </w:pPr>
            <w:r>
              <w:rPr>
                <w:rFonts w:hint="eastAsia" w:ascii="宋体" w:hAnsi="宋体" w:eastAsia="宋体" w:cs="宋体"/>
                <w:color w:val="auto"/>
                <w:sz w:val="21"/>
                <w:szCs w:val="21"/>
              </w:rPr>
              <w:t>内容</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要素</w:t>
            </w:r>
          </w:p>
        </w:tc>
        <w:tc>
          <w:tcPr>
            <w:tcW w:w="1755"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排放口</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编号、</w:t>
            </w:r>
          </w:p>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名称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/污染源</w:t>
            </w:r>
          </w:p>
        </w:tc>
        <w:tc>
          <w:tcPr>
            <w:tcW w:w="1238"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污染物项目</w:t>
            </w:r>
          </w:p>
        </w:tc>
        <w:tc>
          <w:tcPr>
            <w:tcW w:w="1963"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环境保护措施</w:t>
            </w:r>
          </w:p>
        </w:tc>
        <w:tc>
          <w:tcPr>
            <w:tcW w:w="2066"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8"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大气环境</w:t>
            </w:r>
          </w:p>
        </w:tc>
        <w:tc>
          <w:tcPr>
            <w:tcW w:w="175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化粪池、污水处理</w:t>
            </w:r>
            <w:r>
              <w:rPr>
                <w:rFonts w:hint="eastAsia" w:ascii="宋体" w:hAnsi="宋体" w:eastAsia="宋体" w:cs="宋体"/>
                <w:color w:val="auto"/>
                <w:sz w:val="21"/>
                <w:szCs w:val="21"/>
                <w:lang w:eastAsia="zh-CN"/>
              </w:rPr>
              <w:t>设施</w:t>
            </w:r>
            <w:r>
              <w:rPr>
                <w:rFonts w:hint="eastAsia" w:ascii="宋体" w:hAnsi="宋体" w:eastAsia="宋体" w:cs="宋体"/>
                <w:color w:val="auto"/>
                <w:sz w:val="21"/>
                <w:szCs w:val="21"/>
              </w:rPr>
              <w:t>、</w:t>
            </w:r>
            <w:r>
              <w:rPr>
                <w:rFonts w:hint="eastAsia" w:ascii="宋体" w:hAnsi="宋体" w:cs="宋体"/>
                <w:color w:val="auto"/>
                <w:sz w:val="21"/>
                <w:szCs w:val="21"/>
                <w:lang w:eastAsia="zh-CN"/>
              </w:rPr>
              <w:t>医疗废物暂存间</w:t>
            </w:r>
            <w:r>
              <w:rPr>
                <w:rFonts w:hint="eastAsia" w:ascii="宋体" w:hAnsi="宋体" w:eastAsia="宋体" w:cs="宋体"/>
                <w:color w:val="auto"/>
                <w:sz w:val="21"/>
                <w:szCs w:val="21"/>
              </w:rPr>
              <w:t>、垃圾箱</w:t>
            </w:r>
          </w:p>
        </w:tc>
        <w:tc>
          <w:tcPr>
            <w:tcW w:w="123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异味</w:t>
            </w:r>
          </w:p>
        </w:tc>
        <w:tc>
          <w:tcPr>
            <w:tcW w:w="1963"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污水处理设施池体封闭、垃圾桶和医疗废物收集桶加盖、</w:t>
            </w:r>
            <w:r>
              <w:rPr>
                <w:rFonts w:hint="eastAsia" w:ascii="宋体" w:hAnsi="宋体" w:eastAsia="宋体" w:cs="宋体"/>
                <w:color w:val="auto"/>
                <w:sz w:val="21"/>
                <w:szCs w:val="21"/>
              </w:rPr>
              <w:t>大气稀释扩散、绿化吸收</w:t>
            </w:r>
          </w:p>
        </w:tc>
        <w:tc>
          <w:tcPr>
            <w:tcW w:w="2066"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《医疗机构水污染物排放标准》（GB18466-2005）中表3污水处理设备周边大气污染物最高允许排放浓度</w:t>
            </w:r>
            <w:r>
              <w:rPr>
                <w:rFonts w:hint="eastAsia" w:ascii="宋体" w:hAnsi="宋体" w:eastAsia="宋体" w:cs="宋体"/>
                <w:color w:val="auto"/>
                <w:kern w:val="0"/>
                <w:sz w:val="21"/>
                <w:szCs w:val="21"/>
                <w:lang w:bidi="ar"/>
              </w:rPr>
              <w:t>及《恶臭污染物排放标准》（GB14554-93）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8" w:type="dxa"/>
            <w:vMerge w:val="restart"/>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地表水环境</w:t>
            </w:r>
          </w:p>
        </w:tc>
        <w:tc>
          <w:tcPr>
            <w:tcW w:w="1755"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生活污水</w:t>
            </w:r>
          </w:p>
        </w:tc>
        <w:tc>
          <w:tcPr>
            <w:tcW w:w="123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氨氮、SS、COD</w:t>
            </w:r>
            <w:r>
              <w:rPr>
                <w:rFonts w:hint="eastAsia" w:ascii="宋体" w:hAnsi="宋体" w:eastAsia="宋体" w:cs="宋体"/>
                <w:color w:val="auto"/>
                <w:sz w:val="21"/>
                <w:szCs w:val="21"/>
                <w:vertAlign w:val="subscript"/>
              </w:rPr>
              <w:t>cr</w:t>
            </w:r>
            <w:r>
              <w:rPr>
                <w:rFonts w:hint="eastAsia" w:ascii="宋体" w:hAnsi="宋体" w:eastAsia="宋体" w:cs="宋体"/>
                <w:color w:val="auto"/>
                <w:sz w:val="21"/>
                <w:szCs w:val="21"/>
              </w:rPr>
              <w:t>、BOD</w:t>
            </w:r>
            <w:r>
              <w:rPr>
                <w:rFonts w:hint="eastAsia" w:ascii="宋体" w:hAnsi="宋体" w:eastAsia="宋体" w:cs="宋体"/>
                <w:color w:val="auto"/>
                <w:sz w:val="21"/>
                <w:szCs w:val="21"/>
                <w:vertAlign w:val="subscript"/>
              </w:rPr>
              <w:t>5</w:t>
            </w:r>
            <w:r>
              <w:rPr>
                <w:rFonts w:hint="eastAsia" w:ascii="宋体" w:hAnsi="宋体" w:eastAsia="宋体" w:cs="宋体"/>
                <w:color w:val="auto"/>
                <w:sz w:val="21"/>
                <w:szCs w:val="21"/>
              </w:rPr>
              <w:t>氨氮</w:t>
            </w:r>
          </w:p>
        </w:tc>
        <w:tc>
          <w:tcPr>
            <w:tcW w:w="1963" w:type="dxa"/>
            <w:vMerge w:val="restart"/>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2个有效容积30m³的</w:t>
            </w:r>
            <w:r>
              <w:rPr>
                <w:rFonts w:hint="eastAsia" w:ascii="宋体" w:hAnsi="宋体" w:eastAsia="宋体" w:cs="宋体"/>
                <w:color w:val="auto"/>
                <w:sz w:val="21"/>
                <w:szCs w:val="21"/>
              </w:rPr>
              <w:t>化粪池</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一个处理规模10m³/d的一体化污水处理设施（AO</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臭氧</w:t>
            </w:r>
            <w:r>
              <w:rPr>
                <w:rFonts w:hint="eastAsia" w:ascii="宋体" w:hAnsi="宋体" w:eastAsia="宋体" w:cs="宋体"/>
                <w:color w:val="auto"/>
                <w:sz w:val="21"/>
                <w:szCs w:val="21"/>
              </w:rPr>
              <w:t>消毒工艺</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，在污水处理站旁建设一个3m³的事故池。</w:t>
            </w:r>
          </w:p>
        </w:tc>
        <w:tc>
          <w:tcPr>
            <w:tcW w:w="2066"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before="0" w:after="0" w:line="240" w:lineRule="auto"/>
              <w:ind w:left="0" w:leftChars="0" w:right="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生活污水和医疗废水排入化粪池处理后排入一体化污水处理设施处理</w:t>
            </w:r>
            <w:r>
              <w:rPr>
                <w:rFonts w:hint="eastAsia" w:ascii="宋体" w:hAnsi="宋体" w:eastAsia="宋体" w:cs="宋体"/>
                <w:color w:val="auto"/>
                <w:sz w:val="21"/>
                <w:szCs w:val="21"/>
                <w:lang w:eastAsia="zh-CN"/>
              </w:rPr>
              <w:t>达到</w:t>
            </w:r>
            <w:r>
              <w:rPr>
                <w:rFonts w:hint="eastAsia" w:ascii="宋体" w:hAnsi="宋体" w:eastAsia="宋体" w:cs="宋体"/>
                <w:color w:val="auto"/>
                <w:kern w:val="0"/>
                <w:sz w:val="21"/>
                <w:szCs w:val="21"/>
                <w:lang w:bidi="ar"/>
              </w:rPr>
              <w:t>《医疗机构水污染物排放标准》（GB18466-2005）预处理标准及《污水排入城镇下水道水质标准》（GB/T31962－2015）表1中A级标准限值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rFonts w:hint="eastAsia" w:ascii="宋体" w:hAnsi="宋体" w:eastAsia="宋体" w:cs="宋体"/>
                <w:color w:val="auto"/>
                <w:sz w:val="21"/>
                <w:szCs w:val="21"/>
              </w:rPr>
            </w:pPr>
          </w:p>
        </w:tc>
        <w:tc>
          <w:tcPr>
            <w:tcW w:w="175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综合医疗</w:t>
            </w:r>
            <w:r>
              <w:rPr>
                <w:rFonts w:hint="eastAsia" w:ascii="宋体" w:hAnsi="宋体" w:eastAsia="宋体" w:cs="宋体"/>
                <w:color w:val="auto"/>
                <w:sz w:val="21"/>
                <w:szCs w:val="21"/>
              </w:rPr>
              <w:t>废水</w:t>
            </w:r>
          </w:p>
        </w:tc>
        <w:tc>
          <w:tcPr>
            <w:tcW w:w="1238"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氨氮、SS、COD</w:t>
            </w:r>
            <w:r>
              <w:rPr>
                <w:rFonts w:hint="eastAsia" w:ascii="宋体" w:hAnsi="宋体" w:eastAsia="宋体" w:cs="宋体"/>
                <w:color w:val="auto"/>
                <w:sz w:val="21"/>
                <w:szCs w:val="21"/>
                <w:vertAlign w:val="subscript"/>
              </w:rPr>
              <w:t>cr</w:t>
            </w:r>
            <w:r>
              <w:rPr>
                <w:rFonts w:hint="eastAsia" w:ascii="宋体" w:hAnsi="宋体" w:eastAsia="宋体" w:cs="宋体"/>
                <w:color w:val="auto"/>
                <w:sz w:val="21"/>
                <w:szCs w:val="21"/>
              </w:rPr>
              <w:t>、BOD</w:t>
            </w:r>
            <w:r>
              <w:rPr>
                <w:rFonts w:hint="eastAsia" w:ascii="宋体" w:hAnsi="宋体" w:eastAsia="宋体" w:cs="宋体"/>
                <w:color w:val="auto"/>
                <w:sz w:val="21"/>
                <w:szCs w:val="21"/>
                <w:vertAlign w:val="subscript"/>
              </w:rPr>
              <w:t>5</w:t>
            </w:r>
            <w:r>
              <w:rPr>
                <w:rFonts w:hint="eastAsia" w:ascii="宋体" w:hAnsi="宋体" w:eastAsia="宋体" w:cs="宋体"/>
                <w:color w:val="auto"/>
                <w:sz w:val="21"/>
                <w:szCs w:val="21"/>
              </w:rPr>
              <w:t>氨氮、粪大肠菌群数</w:t>
            </w:r>
          </w:p>
          <w:p>
            <w:pPr>
              <w:jc w:val="center"/>
              <w:rPr>
                <w:rFonts w:hint="eastAsia" w:ascii="宋体" w:hAnsi="宋体" w:eastAsia="宋体" w:cs="宋体"/>
                <w:color w:val="auto"/>
                <w:sz w:val="21"/>
                <w:szCs w:val="21"/>
              </w:rPr>
            </w:pPr>
          </w:p>
        </w:tc>
        <w:tc>
          <w:tcPr>
            <w:tcW w:w="1963" w:type="dxa"/>
            <w:vMerge w:val="continue"/>
            <w:vAlign w:val="center"/>
          </w:tcPr>
          <w:p>
            <w:pPr>
              <w:jc w:val="center"/>
              <w:rPr>
                <w:rFonts w:hint="eastAsia" w:ascii="宋体" w:hAnsi="宋体" w:eastAsia="宋体" w:cs="宋体"/>
                <w:color w:val="auto"/>
                <w:sz w:val="21"/>
                <w:szCs w:val="21"/>
                <w:lang w:val="en-US" w:eastAsia="zh-CN"/>
              </w:rPr>
            </w:pPr>
          </w:p>
        </w:tc>
        <w:tc>
          <w:tcPr>
            <w:tcW w:w="2066" w:type="dxa"/>
            <w:vMerge w:val="continue"/>
            <w:vAlign w:val="center"/>
          </w:tcPr>
          <w:p>
            <w:pPr>
              <w:adjustRightInd w:val="0"/>
              <w:snapToGrid w:val="0"/>
              <w:jc w:val="left"/>
              <w:rPr>
                <w:rFonts w:hint="eastAsia" w:ascii="宋体" w:hAnsi="宋体" w:eastAsia="宋体" w:cs="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rFonts w:hint="eastAsia" w:ascii="宋体" w:hAnsi="宋体" w:eastAsia="宋体" w:cs="宋体"/>
                <w:color w:val="auto"/>
                <w:sz w:val="21"/>
                <w:szCs w:val="21"/>
              </w:rPr>
            </w:pPr>
          </w:p>
        </w:tc>
        <w:tc>
          <w:tcPr>
            <w:tcW w:w="175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检验室废水</w:t>
            </w:r>
          </w:p>
        </w:tc>
        <w:tc>
          <w:tcPr>
            <w:tcW w:w="123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酸性</w:t>
            </w:r>
            <w:r>
              <w:rPr>
                <w:rFonts w:hint="eastAsia" w:ascii="宋体" w:hAnsi="宋体" w:eastAsia="宋体" w:cs="宋体"/>
                <w:color w:val="auto"/>
                <w:sz w:val="21"/>
                <w:szCs w:val="21"/>
              </w:rPr>
              <w:t>废水</w:t>
            </w:r>
          </w:p>
        </w:tc>
        <w:tc>
          <w:tcPr>
            <w:tcW w:w="1963" w:type="dxa"/>
            <w:vAlign w:val="center"/>
          </w:tcPr>
          <w:p>
            <w:pPr>
              <w:keepNext w:val="0"/>
              <w:keepLines w:val="0"/>
              <w:widowControl/>
              <w:suppressLineNumbers w:val="0"/>
              <w:jc w:val="left"/>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使用检验科废水处理桶收集后</w:t>
            </w:r>
            <w:r>
              <w:rPr>
                <w:rFonts w:hint="eastAsia" w:ascii="宋体" w:hAnsi="宋体" w:eastAsia="宋体" w:cs="宋体"/>
                <w:color w:val="auto"/>
                <w:sz w:val="21"/>
                <w:szCs w:val="21"/>
              </w:rPr>
              <w:t>投加</w:t>
            </w:r>
            <w:r>
              <w:rPr>
                <w:rFonts w:hint="eastAsia" w:ascii="宋体" w:hAnsi="宋体" w:eastAsia="宋体" w:cs="宋体"/>
                <w:color w:val="auto"/>
                <w:sz w:val="21"/>
                <w:szCs w:val="21"/>
                <w:lang w:eastAsia="zh-CN"/>
              </w:rPr>
              <w:t>含氯消毒</w:t>
            </w:r>
            <w:r>
              <w:rPr>
                <w:rFonts w:hint="eastAsia" w:ascii="宋体" w:hAnsi="宋体" w:eastAsia="宋体" w:cs="宋体"/>
                <w:color w:val="auto"/>
                <w:sz w:val="21"/>
                <w:szCs w:val="21"/>
              </w:rPr>
              <w:t>液进行消毒后再加入</w:t>
            </w:r>
            <w:r>
              <w:rPr>
                <w:rFonts w:hint="eastAsia" w:ascii="宋体" w:hAnsi="宋体" w:eastAsia="宋体" w:cs="宋体"/>
                <w:color w:val="auto"/>
                <w:sz w:val="21"/>
                <w:szCs w:val="21"/>
                <w:lang w:eastAsia="zh-CN"/>
              </w:rPr>
              <w:t>碱性</w:t>
            </w:r>
            <w:r>
              <w:rPr>
                <w:rFonts w:hint="eastAsia" w:ascii="宋体" w:hAnsi="宋体" w:eastAsia="宋体" w:cs="宋体"/>
                <w:color w:val="auto"/>
                <w:sz w:val="21"/>
                <w:szCs w:val="21"/>
              </w:rPr>
              <w:t>溶液进行中和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然后</w:t>
            </w:r>
            <w:r>
              <w:rPr>
                <w:rFonts w:hint="eastAsia" w:ascii="宋体" w:hAnsi="宋体" w:eastAsia="宋体" w:cs="宋体"/>
                <w:color w:val="auto"/>
                <w:kern w:val="0"/>
                <w:sz w:val="21"/>
                <w:szCs w:val="21"/>
                <w:lang w:val="en-US" w:eastAsia="zh-CN" w:bidi="ar"/>
              </w:rPr>
              <w:t>排入化粪池处理，再排入一体化污水处理设施处理达标后，排入市政污水管网。</w:t>
            </w:r>
          </w:p>
        </w:tc>
        <w:tc>
          <w:tcPr>
            <w:tcW w:w="2066" w:type="dxa"/>
            <w:vMerge w:val="continue"/>
            <w:vAlign w:val="center"/>
          </w:tcPr>
          <w:p>
            <w:pPr>
              <w:adjustRightInd w:val="0"/>
              <w:snapToGrid w:val="0"/>
              <w:jc w:val="center"/>
              <w:rPr>
                <w:rFonts w:hint="eastAsia" w:ascii="宋体" w:hAnsi="宋体" w:eastAsia="宋体" w:cs="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8"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声环境</w:t>
            </w:r>
          </w:p>
        </w:tc>
        <w:tc>
          <w:tcPr>
            <w:tcW w:w="1755"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污水处理设备、车辆及人群</w:t>
            </w:r>
          </w:p>
        </w:tc>
        <w:tc>
          <w:tcPr>
            <w:tcW w:w="1238"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噪声</w:t>
            </w:r>
          </w:p>
        </w:tc>
        <w:tc>
          <w:tcPr>
            <w:tcW w:w="1963" w:type="dxa"/>
            <w:vAlign w:val="center"/>
          </w:tcPr>
          <w:p>
            <w:pPr>
              <w:adjustRightInd w:val="0"/>
              <w:snapToGrid w:val="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①规范操作</w:t>
            </w:r>
            <w:r>
              <w:rPr>
                <w:rFonts w:hint="eastAsia" w:ascii="宋体" w:hAnsi="宋体" w:eastAsia="宋体" w:cs="宋体"/>
                <w:color w:val="auto"/>
                <w:sz w:val="21"/>
                <w:szCs w:val="21"/>
                <w:lang w:eastAsia="zh-CN"/>
              </w:rPr>
              <w:t>。</w:t>
            </w:r>
          </w:p>
          <w:p>
            <w:pPr>
              <w:adjustRightInd w:val="0"/>
              <w:snapToGrid w:val="0"/>
              <w:jc w:val="left"/>
              <w:rPr>
                <w:rFonts w:hint="eastAsia" w:ascii="宋体" w:hAnsi="宋体" w:eastAsia="宋体" w:cs="宋体"/>
                <w:color w:val="auto"/>
                <w:sz w:val="21"/>
                <w:szCs w:val="21"/>
              </w:rPr>
            </w:pPr>
            <w:r>
              <w:rPr>
                <w:rFonts w:hint="eastAsia" w:ascii="宋体" w:hAnsi="宋体" w:eastAsia="宋体" w:cs="宋体"/>
                <w:color w:val="auto"/>
                <w:sz w:val="21"/>
                <w:szCs w:val="21"/>
              </w:rPr>
              <w:t>②定期对设备、设施进行检修。</w:t>
            </w:r>
          </w:p>
          <w:p>
            <w:pPr>
              <w:adjustRightInd w:val="0"/>
              <w:snapToGrid w:val="0"/>
              <w:jc w:val="left"/>
              <w:rPr>
                <w:rFonts w:hint="eastAsia" w:ascii="宋体" w:hAnsi="宋体" w:eastAsia="宋体" w:cs="宋体"/>
                <w:color w:val="auto"/>
                <w:sz w:val="21"/>
                <w:szCs w:val="21"/>
              </w:rPr>
            </w:pPr>
            <w:r>
              <w:rPr>
                <w:rFonts w:hint="eastAsia" w:ascii="宋体" w:hAnsi="宋体" w:eastAsia="宋体" w:cs="宋体"/>
                <w:color w:val="auto"/>
                <w:sz w:val="21"/>
                <w:szCs w:val="21"/>
              </w:rPr>
              <w:t>③</w:t>
            </w:r>
            <w:r>
              <w:rPr>
                <w:rFonts w:hint="eastAsia" w:ascii="宋体" w:hAnsi="宋体" w:eastAsia="宋体" w:cs="宋体"/>
                <w:color w:val="auto"/>
                <w:sz w:val="21"/>
                <w:szCs w:val="21"/>
                <w:lang w:val="en-US" w:eastAsia="zh-CN"/>
              </w:rPr>
              <w:t>医院内</w:t>
            </w:r>
            <w:r>
              <w:rPr>
                <w:rFonts w:hint="eastAsia" w:ascii="宋体" w:hAnsi="宋体" w:eastAsia="宋体" w:cs="宋体"/>
                <w:color w:val="auto"/>
                <w:sz w:val="21"/>
                <w:szCs w:val="21"/>
              </w:rPr>
              <w:t>进出口处</w:t>
            </w:r>
            <w:r>
              <w:rPr>
                <w:rFonts w:hint="eastAsia" w:ascii="宋体" w:hAnsi="宋体" w:eastAsia="宋体" w:cs="宋体"/>
                <w:color w:val="auto"/>
                <w:sz w:val="21"/>
                <w:szCs w:val="21"/>
                <w:lang w:val="en-US" w:eastAsia="zh-CN"/>
              </w:rPr>
              <w:t>和过道</w:t>
            </w:r>
            <w:r>
              <w:rPr>
                <w:rFonts w:hint="eastAsia" w:ascii="宋体" w:hAnsi="宋体" w:eastAsia="宋体" w:cs="宋体"/>
                <w:color w:val="auto"/>
                <w:sz w:val="21"/>
                <w:szCs w:val="21"/>
              </w:rPr>
              <w:t>设置“</w:t>
            </w:r>
            <w:r>
              <w:rPr>
                <w:rFonts w:hint="eastAsia" w:ascii="宋体" w:hAnsi="宋体" w:eastAsia="宋体" w:cs="宋体"/>
                <w:color w:val="auto"/>
                <w:sz w:val="21"/>
                <w:szCs w:val="21"/>
                <w:lang w:val="en-US" w:eastAsia="zh-CN"/>
              </w:rPr>
              <w:t>禁止大声喧哗等</w:t>
            </w:r>
            <w:r>
              <w:rPr>
                <w:rFonts w:hint="eastAsia" w:ascii="宋体" w:hAnsi="宋体" w:eastAsia="宋体" w:cs="宋体"/>
                <w:color w:val="auto"/>
                <w:sz w:val="21"/>
                <w:szCs w:val="21"/>
              </w:rPr>
              <w:t xml:space="preserve">”标识。 </w:t>
            </w:r>
          </w:p>
          <w:p>
            <w:pPr>
              <w:adjustRightInd w:val="0"/>
              <w:snapToGrid w:val="0"/>
              <w:jc w:val="left"/>
              <w:rPr>
                <w:rFonts w:hint="eastAsia" w:ascii="宋体" w:hAnsi="宋体" w:eastAsia="宋体" w:cs="宋体"/>
                <w:color w:val="auto"/>
                <w:sz w:val="21"/>
                <w:szCs w:val="21"/>
              </w:rPr>
            </w:pPr>
            <w:r>
              <w:rPr>
                <w:rFonts w:hint="eastAsia" w:ascii="宋体" w:hAnsi="宋体" w:eastAsia="宋体" w:cs="宋体"/>
                <w:color w:val="auto"/>
                <w:sz w:val="21"/>
                <w:szCs w:val="21"/>
              </w:rPr>
              <w:t>④设置封闭的发电机房，对风机、水泵等高噪声设备进行基础隔声处理。</w:t>
            </w:r>
          </w:p>
        </w:tc>
        <w:tc>
          <w:tcPr>
            <w:tcW w:w="2066" w:type="dxa"/>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厂界</w:t>
            </w:r>
            <w:r>
              <w:rPr>
                <w:rFonts w:hint="eastAsia" w:ascii="宋体" w:hAnsi="宋体" w:eastAsia="宋体" w:cs="宋体"/>
                <w:color w:val="auto"/>
                <w:sz w:val="21"/>
                <w:szCs w:val="21"/>
              </w:rPr>
              <w:t>达到《工业企业厂界噪声标准》（GB12348-2008）2类标准限值</w:t>
            </w:r>
            <w:r>
              <w:rPr>
                <w:rFonts w:hint="eastAsia" w:ascii="宋体" w:hAnsi="宋体" w:eastAsia="宋体" w:cs="宋体"/>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8" w:type="dxa"/>
            <w:vMerge w:val="restart"/>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固体废物</w:t>
            </w:r>
          </w:p>
        </w:tc>
        <w:tc>
          <w:tcPr>
            <w:tcW w:w="1755"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病房、门诊、手术室、检验室</w:t>
            </w:r>
          </w:p>
        </w:tc>
        <w:tc>
          <w:tcPr>
            <w:tcW w:w="1238"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医疗废物</w:t>
            </w:r>
          </w:p>
        </w:tc>
        <w:tc>
          <w:tcPr>
            <w:tcW w:w="1963" w:type="dxa"/>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医疗废物收集到</w:t>
            </w:r>
            <w:r>
              <w:rPr>
                <w:rFonts w:hint="eastAsia" w:ascii="宋体" w:hAnsi="宋体" w:cs="宋体"/>
                <w:color w:val="auto"/>
                <w:sz w:val="21"/>
                <w:szCs w:val="21"/>
                <w:lang w:eastAsia="zh-CN"/>
              </w:rPr>
              <w:t>医疗废物暂存间</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感染性、损伤性</w:t>
            </w:r>
            <w:r>
              <w:rPr>
                <w:rFonts w:hint="eastAsia" w:ascii="宋体" w:hAnsi="宋体" w:cs="宋体"/>
                <w:color w:val="auto"/>
                <w:sz w:val="21"/>
                <w:szCs w:val="21"/>
                <w:lang w:val="en-US" w:eastAsia="zh-CN"/>
              </w:rPr>
              <w:t>、药物性</w:t>
            </w:r>
            <w:r>
              <w:rPr>
                <w:rFonts w:hint="eastAsia" w:ascii="宋体" w:hAnsi="宋体" w:eastAsia="宋体" w:cs="宋体"/>
                <w:color w:val="auto"/>
                <w:sz w:val="21"/>
                <w:szCs w:val="21"/>
                <w:lang w:val="en-US" w:eastAsia="zh-CN"/>
              </w:rPr>
              <w:t>废物</w:t>
            </w:r>
            <w:r>
              <w:rPr>
                <w:rFonts w:hint="eastAsia" w:ascii="宋体" w:hAnsi="宋体" w:eastAsia="宋体" w:cs="宋体"/>
                <w:color w:val="auto"/>
                <w:sz w:val="21"/>
                <w:szCs w:val="21"/>
              </w:rPr>
              <w:t>委托</w:t>
            </w:r>
            <w:r>
              <w:rPr>
                <w:rFonts w:hint="eastAsia" w:ascii="宋体" w:hAnsi="宋体" w:eastAsia="宋体" w:cs="宋体"/>
                <w:b w:val="0"/>
                <w:bCs w:val="0"/>
                <w:color w:val="auto"/>
                <w:sz w:val="21"/>
                <w:szCs w:val="21"/>
                <w:lang w:val="en-US" w:eastAsia="zh-CN"/>
              </w:rPr>
              <w:t>西双版纳州金盛医疗废物处置有限公司</w:t>
            </w:r>
            <w:r>
              <w:rPr>
                <w:rFonts w:hint="eastAsia" w:ascii="宋体" w:hAnsi="宋体" w:eastAsia="宋体" w:cs="宋体"/>
                <w:color w:val="auto"/>
                <w:sz w:val="21"/>
                <w:szCs w:val="21"/>
              </w:rPr>
              <w:t>进行清运和处置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病理性委托</w:t>
            </w:r>
            <w:r>
              <w:rPr>
                <w:rFonts w:hint="eastAsia" w:ascii="宋体" w:hAnsi="宋体" w:cs="宋体"/>
                <w:color w:val="auto"/>
                <w:sz w:val="21"/>
                <w:szCs w:val="21"/>
                <w:lang w:val="en-US" w:eastAsia="zh-CN"/>
              </w:rPr>
              <w:t>资质单位</w:t>
            </w:r>
            <w:r>
              <w:rPr>
                <w:rFonts w:hint="eastAsia" w:ascii="宋体" w:hAnsi="宋体" w:eastAsia="宋体" w:cs="宋体"/>
                <w:color w:val="auto"/>
                <w:sz w:val="21"/>
                <w:szCs w:val="21"/>
                <w:lang w:val="en-US" w:eastAsia="zh-CN"/>
              </w:rPr>
              <w:t>清运处置。</w:t>
            </w:r>
          </w:p>
        </w:tc>
        <w:tc>
          <w:tcPr>
            <w:tcW w:w="2066" w:type="dxa"/>
            <w:vMerge w:val="restart"/>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分类收集和妥善处置，不混合收集处置，不随意堆放和擅自倾倒</w:t>
            </w:r>
          </w:p>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处理率100%</w:t>
            </w:r>
          </w:p>
          <w:p>
            <w:pPr>
              <w:adjustRightInd w:val="0"/>
              <w:snapToGrid w:val="0"/>
              <w:jc w:val="center"/>
              <w:rPr>
                <w:rFonts w:hint="eastAsia" w:ascii="宋体" w:hAnsi="宋体" w:eastAsia="宋体" w:cs="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rFonts w:hint="eastAsia" w:ascii="宋体" w:hAnsi="宋体" w:eastAsia="宋体" w:cs="宋体"/>
                <w:color w:val="auto"/>
                <w:sz w:val="21"/>
                <w:szCs w:val="21"/>
              </w:rPr>
            </w:pPr>
          </w:p>
        </w:tc>
        <w:tc>
          <w:tcPr>
            <w:tcW w:w="1755"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办公生活</w:t>
            </w:r>
          </w:p>
        </w:tc>
        <w:tc>
          <w:tcPr>
            <w:tcW w:w="1238"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生活垃圾</w:t>
            </w:r>
          </w:p>
        </w:tc>
        <w:tc>
          <w:tcPr>
            <w:tcW w:w="1963" w:type="dxa"/>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分类收集，运往环卫部门指定地点处理</w:t>
            </w:r>
          </w:p>
        </w:tc>
        <w:tc>
          <w:tcPr>
            <w:tcW w:w="2066" w:type="dxa"/>
            <w:vMerge w:val="continue"/>
            <w:vAlign w:val="center"/>
          </w:tcPr>
          <w:p>
            <w:pPr>
              <w:adjustRightInd w:val="0"/>
              <w:snapToGrid w:val="0"/>
              <w:jc w:val="center"/>
              <w:rPr>
                <w:rFonts w:hint="eastAsia" w:ascii="宋体" w:hAnsi="宋体" w:eastAsia="宋体" w:cs="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rFonts w:hint="eastAsia" w:ascii="宋体" w:hAnsi="宋体" w:eastAsia="宋体" w:cs="宋体"/>
                <w:color w:val="auto"/>
                <w:sz w:val="21"/>
                <w:szCs w:val="21"/>
              </w:rPr>
            </w:pPr>
          </w:p>
        </w:tc>
        <w:tc>
          <w:tcPr>
            <w:tcW w:w="1755"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污水处理设备、化粪池</w:t>
            </w:r>
          </w:p>
        </w:tc>
        <w:tc>
          <w:tcPr>
            <w:tcW w:w="1238"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污泥</w:t>
            </w:r>
          </w:p>
        </w:tc>
        <w:tc>
          <w:tcPr>
            <w:tcW w:w="1963" w:type="dxa"/>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污泥池</w:t>
            </w:r>
            <w:r>
              <w:rPr>
                <w:rFonts w:hint="eastAsia" w:ascii="宋体" w:hAnsi="宋体" w:eastAsia="宋体" w:cs="宋体"/>
                <w:color w:val="auto"/>
                <w:sz w:val="21"/>
                <w:szCs w:val="21"/>
              </w:rPr>
              <w:t>消毒</w:t>
            </w:r>
            <w:r>
              <w:rPr>
                <w:rFonts w:hint="eastAsia" w:ascii="宋体" w:hAnsi="宋体" w:eastAsia="宋体" w:cs="宋体"/>
                <w:color w:val="auto"/>
                <w:sz w:val="21"/>
                <w:szCs w:val="21"/>
                <w:lang w:val="en-US" w:eastAsia="zh-CN"/>
              </w:rPr>
              <w:t>干化</w:t>
            </w:r>
            <w:r>
              <w:rPr>
                <w:rFonts w:hint="eastAsia" w:ascii="宋体" w:hAnsi="宋体" w:eastAsia="宋体" w:cs="宋体"/>
                <w:color w:val="auto"/>
                <w:sz w:val="21"/>
                <w:szCs w:val="21"/>
              </w:rPr>
              <w:t>后，委托</w:t>
            </w:r>
            <w:r>
              <w:rPr>
                <w:rFonts w:hint="eastAsia" w:ascii="宋体" w:hAnsi="宋体" w:eastAsia="宋体" w:cs="宋体"/>
                <w:color w:val="auto"/>
                <w:sz w:val="21"/>
                <w:szCs w:val="21"/>
                <w:lang w:val="en-US" w:eastAsia="zh-CN"/>
              </w:rPr>
              <w:t>有资质的单位</w:t>
            </w:r>
            <w:r>
              <w:rPr>
                <w:rFonts w:hint="eastAsia" w:ascii="宋体" w:hAnsi="宋体" w:eastAsia="宋体" w:cs="宋体"/>
                <w:color w:val="auto"/>
                <w:sz w:val="21"/>
                <w:szCs w:val="21"/>
              </w:rPr>
              <w:t>进行清运和处置</w:t>
            </w:r>
          </w:p>
        </w:tc>
        <w:tc>
          <w:tcPr>
            <w:tcW w:w="2066" w:type="dxa"/>
            <w:vMerge w:val="continue"/>
            <w:vAlign w:val="center"/>
          </w:tcPr>
          <w:p>
            <w:pPr>
              <w:adjustRightInd w:val="0"/>
              <w:snapToGrid w:val="0"/>
              <w:jc w:val="center"/>
              <w:rPr>
                <w:rFonts w:hint="eastAsia" w:ascii="宋体" w:hAnsi="宋体" w:eastAsia="宋体" w:cs="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78"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电磁辐射</w:t>
            </w:r>
          </w:p>
        </w:tc>
        <w:tc>
          <w:tcPr>
            <w:tcW w:w="1755" w:type="dxa"/>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1238" w:type="dxa"/>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1963" w:type="dxa"/>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2066" w:type="dxa"/>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土壤及地下水</w:t>
            </w:r>
          </w:p>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污染防治措施</w:t>
            </w:r>
          </w:p>
        </w:tc>
        <w:tc>
          <w:tcPr>
            <w:tcW w:w="702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项目采取分区防渗措施，</w:t>
            </w:r>
            <w:r>
              <w:rPr>
                <w:rFonts w:hint="eastAsia" w:ascii="宋体" w:hAnsi="宋体" w:eastAsia="宋体" w:cs="宋体"/>
                <w:color w:val="auto"/>
                <w:sz w:val="21"/>
                <w:szCs w:val="21"/>
              </w:rPr>
              <w:t>化粪池、污水处理</w:t>
            </w:r>
            <w:r>
              <w:rPr>
                <w:rFonts w:hint="eastAsia" w:ascii="宋体" w:hAnsi="宋体" w:eastAsia="宋体" w:cs="宋体"/>
                <w:color w:val="auto"/>
                <w:sz w:val="21"/>
                <w:szCs w:val="21"/>
                <w:lang w:eastAsia="zh-CN"/>
              </w:rPr>
              <w:t>设施</w:t>
            </w:r>
            <w:r>
              <w:rPr>
                <w:rFonts w:hint="eastAsia" w:ascii="宋体" w:hAnsi="宋体" w:eastAsia="宋体" w:cs="宋体"/>
                <w:color w:val="auto"/>
                <w:sz w:val="21"/>
                <w:szCs w:val="21"/>
              </w:rPr>
              <w:t>及医疗废物暂存间已进行过防渗处理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化粪池、污水处理设施</w:t>
            </w:r>
            <w:r>
              <w:rPr>
                <w:rFonts w:hint="eastAsia" w:ascii="宋体" w:hAnsi="宋体" w:eastAsia="宋体" w:cs="宋体"/>
                <w:color w:val="auto"/>
                <w:sz w:val="21"/>
                <w:szCs w:val="21"/>
                <w:lang w:val="en-US" w:eastAsia="zh-CN"/>
              </w:rPr>
              <w:t>采用</w:t>
            </w:r>
            <w:r>
              <w:rPr>
                <w:rFonts w:hint="eastAsia" w:ascii="宋体" w:hAnsi="宋体" w:cs="宋体"/>
                <w:color w:val="auto"/>
                <w:sz w:val="21"/>
                <w:szCs w:val="21"/>
                <w:lang w:val="en-US" w:eastAsia="zh-CN"/>
              </w:rPr>
              <w:t>抗</w:t>
            </w:r>
            <w:r>
              <w:rPr>
                <w:rFonts w:hint="eastAsia" w:ascii="宋体" w:hAnsi="宋体" w:eastAsia="宋体" w:cs="宋体"/>
                <w:color w:val="auto"/>
                <w:sz w:val="21"/>
                <w:szCs w:val="21"/>
              </w:rPr>
              <w:t>渗混凝土浇筑，上铺HDPE防渗膜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达到一般防渗要求。</w:t>
            </w:r>
            <w:r>
              <w:rPr>
                <w:rFonts w:hint="eastAsia" w:ascii="宋体" w:hAnsi="宋体" w:eastAsia="宋体" w:cs="宋体"/>
                <w:color w:val="auto"/>
                <w:sz w:val="21"/>
                <w:szCs w:val="21"/>
              </w:rPr>
              <w:t>医疗废物暂存间</w:t>
            </w:r>
            <w:r>
              <w:rPr>
                <w:rFonts w:hint="eastAsia" w:ascii="宋体" w:hAnsi="宋体" w:eastAsia="宋体" w:cs="宋体"/>
                <w:color w:val="auto"/>
                <w:sz w:val="21"/>
                <w:szCs w:val="21"/>
                <w:lang w:val="en-US" w:eastAsia="zh-CN"/>
              </w:rPr>
              <w:t>采用</w:t>
            </w:r>
            <w:r>
              <w:rPr>
                <w:rFonts w:hint="eastAsia" w:ascii="宋体" w:hAnsi="宋体" w:cs="宋体"/>
                <w:color w:val="auto"/>
                <w:sz w:val="21"/>
                <w:szCs w:val="21"/>
                <w:lang w:val="en-US" w:eastAsia="zh-CN"/>
              </w:rPr>
              <w:t>抗渗混凝土</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防渗涂料</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达到重点防渗要求。</w:t>
            </w:r>
            <w:r>
              <w:rPr>
                <w:rFonts w:hint="eastAsia" w:ascii="宋体" w:hAnsi="宋体" w:eastAsia="宋体" w:cs="宋体"/>
                <w:color w:val="auto"/>
                <w:sz w:val="21"/>
                <w:szCs w:val="21"/>
              </w:rPr>
              <w:t>可避免废水和医疗废物渗出液下渗污染地下水。同时应加强管理，定期对排水管道进行检修和维护，可以有效避免本项目废水的下渗及跑冒滴漏，从而避免废水污染</w:t>
            </w:r>
            <w:r>
              <w:rPr>
                <w:rFonts w:hint="eastAsia" w:ascii="宋体" w:hAnsi="宋体" w:eastAsia="宋体" w:cs="宋体"/>
                <w:color w:val="auto"/>
                <w:sz w:val="21"/>
                <w:szCs w:val="21"/>
                <w:lang w:val="en-US" w:eastAsia="zh-CN"/>
              </w:rPr>
              <w:t>土壤及</w:t>
            </w:r>
            <w:r>
              <w:rPr>
                <w:rFonts w:hint="eastAsia" w:ascii="宋体" w:hAnsi="宋体" w:eastAsia="宋体" w:cs="宋体"/>
                <w:color w:val="auto"/>
                <w:sz w:val="21"/>
                <w:szCs w:val="21"/>
              </w:rPr>
              <w:t>地下水。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778" w:type="dxa"/>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生态保护措施</w:t>
            </w:r>
          </w:p>
        </w:tc>
        <w:tc>
          <w:tcPr>
            <w:tcW w:w="7022" w:type="dxa"/>
            <w:gridSpan w:val="4"/>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778" w:type="dxa"/>
            <w:vAlign w:val="center"/>
          </w:tcPr>
          <w:p>
            <w:pPr>
              <w:adjustRightInd w:val="0"/>
              <w:snapToGrid w:val="0"/>
              <w:jc w:val="center"/>
              <w:rPr>
                <w:rFonts w:hint="eastAsia" w:ascii="宋体" w:hAnsi="宋体" w:eastAsia="宋体" w:cs="宋体"/>
                <w:color w:val="auto"/>
                <w:spacing w:val="-8"/>
                <w:sz w:val="21"/>
                <w:szCs w:val="21"/>
              </w:rPr>
            </w:pPr>
            <w:r>
              <w:rPr>
                <w:rFonts w:hint="eastAsia" w:ascii="宋体" w:hAnsi="宋体" w:eastAsia="宋体" w:cs="宋体"/>
                <w:color w:val="auto"/>
                <w:spacing w:val="-8"/>
                <w:sz w:val="21"/>
                <w:szCs w:val="21"/>
              </w:rPr>
              <w:t>环境风险</w:t>
            </w:r>
          </w:p>
          <w:p>
            <w:pPr>
              <w:adjustRightInd w:val="0"/>
              <w:snapToGrid w:val="0"/>
              <w:jc w:val="center"/>
              <w:rPr>
                <w:rFonts w:hint="eastAsia" w:ascii="宋体" w:hAnsi="宋体" w:eastAsia="宋体" w:cs="宋体"/>
                <w:color w:val="auto"/>
                <w:spacing w:val="-8"/>
                <w:sz w:val="21"/>
                <w:szCs w:val="21"/>
              </w:rPr>
            </w:pPr>
            <w:r>
              <w:rPr>
                <w:rFonts w:hint="eastAsia" w:ascii="宋体" w:hAnsi="宋体" w:eastAsia="宋体" w:cs="宋体"/>
                <w:color w:val="auto"/>
                <w:spacing w:val="-8"/>
                <w:sz w:val="21"/>
                <w:szCs w:val="21"/>
              </w:rPr>
              <w:t>防范措施</w:t>
            </w:r>
          </w:p>
        </w:tc>
        <w:tc>
          <w:tcPr>
            <w:tcW w:w="7022" w:type="dxa"/>
            <w:gridSpan w:val="4"/>
            <w:vAlign w:val="center"/>
          </w:tcPr>
          <w:p>
            <w:pPr>
              <w:bidi w:val="0"/>
              <w:spacing w:line="360" w:lineRule="auto"/>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医院外购的酒精需规范存放于药品库，储存方式：酒精需储存于阴凉、通风房间内。远离火种、热源。温度不宜超过30℃。防止阳光直射。保持容器密封。应与氧化剂分开存放。储存间内的照明、通风等设施应采用防爆型，开关设在房外。配备相应品种和数量的消防器材。禁止使用易产生火花的机械设备和工具。</w:t>
            </w:r>
          </w:p>
          <w:p>
            <w:pPr>
              <w:bidi w:val="0"/>
              <w:spacing w:line="360" w:lineRule="auto"/>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氧气瓶存放于氧气室，派专人定期进行巡检，房门上锁，开窗通风。日常使用过程中加强维护保养，特别检查阀门是否完好，有无泄漏情况，内压是否稳定等。加强管理，严禁将氧气瓶放置在有火源、高温、有易燃易爆物品处，氧气瓶旁严禁吸烟、使用火源。</w:t>
            </w:r>
          </w:p>
          <w:p>
            <w:pPr>
              <w:bidi w:val="0"/>
              <w:spacing w:line="360" w:lineRule="auto"/>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柴油采用桶装，存放于发电机房，地面为混凝土硬化地面，房门上锁。在发电机房内设立禁止吸烟、禁止烟火标识，严禁存放火种、易燃易爆物，远离热源；按照《建筑灭火器配置设计规范》的相关规定配置一定数量灭火器材并保持有效状态，加强对职工的教育培训。</w:t>
            </w:r>
          </w:p>
          <w:p>
            <w:pPr>
              <w:bidi w:val="0"/>
              <w:spacing w:line="360" w:lineRule="auto"/>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④含氯消毒片储存于阴凉、干燥、通风良好的库房。远离热源、火种，防止阳光直射。包装必须密封，切勿受潮。应与还原剂、碱类等分开存放，切忌混储。</w:t>
            </w:r>
          </w:p>
          <w:p>
            <w:pPr>
              <w:bidi w:val="0"/>
              <w:spacing w:line="360" w:lineRule="auto"/>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⑤卫生院在东南侧设置有微型消防站，配备有消防水带，灭火器，呼吸器、防护服等消防器材。</w:t>
            </w:r>
          </w:p>
          <w:p>
            <w:pPr>
              <w:bidi w:val="0"/>
              <w:spacing w:line="360" w:lineRule="auto"/>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⑥</w:t>
            </w:r>
            <w:r>
              <w:rPr>
                <w:rFonts w:hint="eastAsia" w:ascii="宋体" w:hAnsi="宋体" w:eastAsia="宋体" w:cs="宋体"/>
                <w:color w:val="auto"/>
                <w:sz w:val="21"/>
                <w:szCs w:val="21"/>
              </w:rPr>
              <w:t>医疗废物</w:t>
            </w:r>
            <w:r>
              <w:rPr>
                <w:rFonts w:hint="eastAsia" w:ascii="宋体" w:hAnsi="宋体" w:eastAsia="宋体" w:cs="宋体"/>
                <w:color w:val="auto"/>
                <w:sz w:val="21"/>
                <w:szCs w:val="21"/>
                <w:lang w:val="en-US" w:eastAsia="zh-CN"/>
              </w:rPr>
              <w:t xml:space="preserve">收集及暂存风险防范措施  </w:t>
            </w:r>
          </w:p>
          <w:p>
            <w:pPr>
              <w:bidi w:val="0"/>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a.</w:t>
            </w:r>
            <w:r>
              <w:rPr>
                <w:rFonts w:hint="eastAsia" w:ascii="宋体" w:hAnsi="宋体" w:eastAsia="宋体" w:cs="宋体"/>
                <w:color w:val="auto"/>
                <w:sz w:val="21"/>
                <w:szCs w:val="21"/>
                <w:lang w:eastAsia="zh-CN"/>
              </w:rPr>
              <w:t>医疗废物暂存间</w:t>
            </w:r>
            <w:r>
              <w:rPr>
                <w:rFonts w:hint="eastAsia" w:ascii="宋体" w:hAnsi="宋体" w:eastAsia="宋体" w:cs="宋体"/>
                <w:color w:val="auto"/>
                <w:sz w:val="21"/>
                <w:szCs w:val="21"/>
              </w:rPr>
              <w:t>做好防渗、防雨、防泄漏等措施，</w:t>
            </w:r>
            <w:r>
              <w:rPr>
                <w:rFonts w:hint="eastAsia" w:ascii="宋体" w:hAnsi="宋体" w:eastAsia="宋体" w:cs="宋体"/>
                <w:color w:val="auto"/>
                <w:sz w:val="21"/>
                <w:szCs w:val="21"/>
                <w:lang w:eastAsia="zh-CN"/>
              </w:rPr>
              <w:t>医疗废物暂存间</w:t>
            </w:r>
            <w:r>
              <w:rPr>
                <w:rFonts w:hint="eastAsia" w:ascii="宋体" w:hAnsi="宋体" w:eastAsia="宋体" w:cs="宋体"/>
                <w:color w:val="auto"/>
                <w:sz w:val="21"/>
                <w:szCs w:val="21"/>
              </w:rPr>
              <w:t>内设置医废收集桶收集医疗废物，医疗废物不直接堆放在暂存间地面上。</w:t>
            </w:r>
          </w:p>
          <w:p>
            <w:pPr>
              <w:bidi w:val="0"/>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rPr>
              <w:t>医疗废物暂存</w:t>
            </w:r>
            <w:r>
              <w:rPr>
                <w:rFonts w:hint="eastAsia" w:ascii="宋体" w:hAnsi="宋体" w:eastAsia="宋体" w:cs="宋体"/>
                <w:color w:val="auto"/>
                <w:sz w:val="21"/>
                <w:szCs w:val="21"/>
                <w:lang w:val="en-US" w:eastAsia="zh-CN"/>
              </w:rPr>
              <w:t>间的建设及医疗废物暂存应严格按照</w:t>
            </w:r>
            <w:r>
              <w:rPr>
                <w:rFonts w:hint="eastAsia" w:ascii="宋体" w:hAnsi="宋体" w:eastAsia="宋体" w:cs="宋体"/>
                <w:color w:val="auto"/>
                <w:sz w:val="21"/>
                <w:szCs w:val="21"/>
              </w:rPr>
              <w:t>《医疗废物集中处置技术规范（试行）》规定</w:t>
            </w:r>
            <w:r>
              <w:rPr>
                <w:rFonts w:hint="eastAsia" w:ascii="宋体" w:hAnsi="宋体" w:eastAsia="宋体" w:cs="宋体"/>
                <w:color w:val="auto"/>
                <w:sz w:val="21"/>
                <w:szCs w:val="21"/>
                <w:lang w:val="en-US" w:eastAsia="zh-CN"/>
              </w:rPr>
              <w:t>执行，产生的医疗废物定期委托资质单位清运处置</w:t>
            </w:r>
            <w:r>
              <w:rPr>
                <w:rFonts w:hint="eastAsia" w:ascii="宋体" w:hAnsi="宋体" w:eastAsia="宋体" w:cs="宋体"/>
                <w:color w:val="auto"/>
                <w:sz w:val="21"/>
                <w:szCs w:val="21"/>
              </w:rPr>
              <w:t>。</w:t>
            </w:r>
          </w:p>
          <w:p>
            <w:pPr>
              <w:bidi w:val="0"/>
              <w:spacing w:line="360" w:lineRule="auto"/>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医院及时收集本单位产生的医疗废物，并按照类别分置于防渗漏、防锐器穿透的专用包装物或者密闭的容器内，收集时严防漏和违反操作规程，医疗废物专用包装物、容器应当有明显的警示标志和警示说明，医院应当建立医疗废物的临时贮存设施和设备，不得露天存放医疗废物。</w:t>
            </w:r>
          </w:p>
          <w:p>
            <w:pPr>
              <w:bidi w:val="0"/>
              <w:spacing w:line="360" w:lineRule="auto"/>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⑦废水事故排放风险防范措施</w:t>
            </w:r>
          </w:p>
          <w:p>
            <w:pPr>
              <w:bidi w:val="0"/>
              <w:spacing w:line="360" w:lineRule="auto"/>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a.院内的污水处理设施必须设置备用电源，保证在市政电网停电状况下能够使污水站正常运行。</w:t>
            </w:r>
          </w:p>
          <w:p>
            <w:pPr>
              <w:bidi w:val="0"/>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b.处理站工作人员应定期检查污水处理设备和其它处理设施，做好日常的维护、检修及保养工作，发现问题及时解决，确保院内的污水处理站发挥正常的工作效率，使其稳定有效运行，避免出现院内废水的事故性排放。 </w:t>
            </w:r>
          </w:p>
          <w:p>
            <w:pPr>
              <w:bidi w:val="0"/>
              <w:spacing w:line="360" w:lineRule="auto"/>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c.污水处理设备出现故障后，停止进水，暂存化粪池及事故池。根据维修情况，通知勐海县污水处理厂采用罐车对项目产生的废水进行清运。</w:t>
            </w:r>
          </w:p>
          <w:p>
            <w:pPr>
              <w:bidi w:val="0"/>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⑧</w:t>
            </w:r>
            <w:r>
              <w:rPr>
                <w:rFonts w:hint="eastAsia" w:ascii="宋体" w:hAnsi="宋体" w:eastAsia="宋体" w:cs="宋体"/>
                <w:color w:val="auto"/>
                <w:sz w:val="21"/>
                <w:szCs w:val="21"/>
              </w:rPr>
              <w:t>建设</w:t>
            </w:r>
            <w:r>
              <w:rPr>
                <w:rFonts w:hint="eastAsia" w:ascii="宋体" w:hAnsi="宋体" w:eastAsia="宋体" w:cs="宋体"/>
                <w:color w:val="auto"/>
                <w:sz w:val="21"/>
                <w:szCs w:val="21"/>
                <w:lang w:val="en-US" w:eastAsia="zh-CN"/>
              </w:rPr>
              <w:t>单位</w:t>
            </w:r>
            <w:r>
              <w:rPr>
                <w:rFonts w:hint="eastAsia" w:ascii="宋体" w:hAnsi="宋体" w:eastAsia="宋体" w:cs="宋体"/>
                <w:color w:val="auto"/>
                <w:sz w:val="21"/>
                <w:szCs w:val="21"/>
              </w:rPr>
              <w:t>应按照环发</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2015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4号文《企业事业单位突发环境事件应急预案备案管理办法（试行）》中的</w:t>
            </w:r>
            <w:r>
              <w:rPr>
                <w:rFonts w:hint="eastAsia" w:ascii="宋体" w:hAnsi="宋体" w:eastAsia="宋体" w:cs="宋体"/>
                <w:color w:val="auto"/>
                <w:sz w:val="21"/>
                <w:szCs w:val="21"/>
                <w:lang w:val="en-US" w:eastAsia="zh-CN"/>
              </w:rPr>
              <w:t>相关</w:t>
            </w:r>
            <w:r>
              <w:rPr>
                <w:rFonts w:hint="eastAsia" w:ascii="宋体" w:hAnsi="宋体" w:eastAsia="宋体" w:cs="宋体"/>
                <w:color w:val="auto"/>
                <w:sz w:val="21"/>
                <w:szCs w:val="21"/>
              </w:rPr>
              <w:t>要求编制应急预案，报</w:t>
            </w:r>
            <w:r>
              <w:rPr>
                <w:rFonts w:hint="eastAsia" w:ascii="宋体" w:hAnsi="宋体" w:eastAsia="宋体" w:cs="宋体"/>
                <w:color w:val="auto"/>
                <w:sz w:val="21"/>
                <w:szCs w:val="21"/>
                <w:lang w:val="en-US" w:eastAsia="zh-CN"/>
              </w:rPr>
              <w:t>勐海县环保局</w:t>
            </w:r>
            <w:r>
              <w:rPr>
                <w:rFonts w:hint="eastAsia" w:ascii="宋体" w:hAnsi="宋体" w:eastAsia="宋体" w:cs="宋体"/>
                <w:color w:val="auto"/>
                <w:sz w:val="21"/>
                <w:szCs w:val="21"/>
              </w:rPr>
              <w:t>进行备案。同时在项目运营过程中，严格按照风险应急预案的要求做好相关预防工作，并做好相应应急准备工作。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778" w:type="dxa"/>
            <w:vAlign w:val="center"/>
          </w:tcPr>
          <w:p>
            <w:pPr>
              <w:adjustRightInd w:val="0"/>
              <w:snapToGrid w:val="0"/>
              <w:jc w:val="center"/>
              <w:rPr>
                <w:rFonts w:hint="eastAsia" w:ascii="宋体" w:hAnsi="宋体" w:eastAsia="宋体" w:cs="宋体"/>
                <w:color w:val="auto"/>
                <w:spacing w:val="-8"/>
                <w:sz w:val="21"/>
                <w:szCs w:val="21"/>
              </w:rPr>
            </w:pPr>
            <w:r>
              <w:rPr>
                <w:rFonts w:hint="eastAsia" w:ascii="宋体" w:hAnsi="宋体" w:eastAsia="宋体" w:cs="宋体"/>
                <w:color w:val="auto"/>
                <w:spacing w:val="-8"/>
                <w:sz w:val="21"/>
                <w:szCs w:val="21"/>
              </w:rPr>
              <w:t>其他环境</w:t>
            </w:r>
          </w:p>
          <w:p>
            <w:pPr>
              <w:adjustRightInd w:val="0"/>
              <w:snapToGrid w:val="0"/>
              <w:jc w:val="center"/>
              <w:rPr>
                <w:rFonts w:hint="eastAsia" w:ascii="宋体" w:hAnsi="宋体" w:eastAsia="宋体" w:cs="宋体"/>
                <w:color w:val="auto"/>
                <w:spacing w:val="-8"/>
                <w:sz w:val="21"/>
                <w:szCs w:val="21"/>
              </w:rPr>
            </w:pPr>
            <w:r>
              <w:rPr>
                <w:rFonts w:hint="eastAsia" w:ascii="宋体" w:hAnsi="宋体" w:eastAsia="宋体" w:cs="宋体"/>
                <w:color w:val="auto"/>
                <w:spacing w:val="-8"/>
                <w:sz w:val="21"/>
                <w:szCs w:val="21"/>
              </w:rPr>
              <w:t>管理要求</w:t>
            </w:r>
          </w:p>
        </w:tc>
        <w:tc>
          <w:tcPr>
            <w:tcW w:w="7022" w:type="dxa"/>
            <w:gridSpan w:val="4"/>
            <w:vAlign w:val="center"/>
          </w:tcPr>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pacing w:val="6"/>
                <w:sz w:val="21"/>
                <w:szCs w:val="21"/>
              </w:rPr>
              <w:t>①加强环保治理设施的管理，确保设施的处理效果与运行率不低于设计标准</w:t>
            </w:r>
            <w:r>
              <w:rPr>
                <w:rFonts w:hint="eastAsia" w:ascii="宋体" w:hAnsi="宋体" w:eastAsia="宋体" w:cs="宋体"/>
                <w:color w:val="auto"/>
                <w:spacing w:val="6"/>
                <w:sz w:val="21"/>
                <w:szCs w:val="21"/>
                <w:lang w:eastAsia="zh-CN"/>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pacing w:val="6"/>
                <w:sz w:val="21"/>
                <w:szCs w:val="21"/>
              </w:rPr>
              <w:t>②</w:t>
            </w:r>
            <w:r>
              <w:rPr>
                <w:rFonts w:hint="eastAsia" w:ascii="宋体" w:hAnsi="宋体" w:eastAsia="宋体" w:cs="宋体"/>
                <w:color w:val="auto"/>
                <w:sz w:val="21"/>
                <w:szCs w:val="21"/>
              </w:rPr>
              <w:t>加强安全环保管理，认真落实岗位责任。</w:t>
            </w:r>
          </w:p>
          <w:p>
            <w:pPr>
              <w:pStyle w:val="20"/>
              <w:spacing w:after="0"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pacing w:val="6"/>
                <w:sz w:val="21"/>
                <w:szCs w:val="21"/>
              </w:rPr>
              <w:t>③</w:t>
            </w:r>
            <w:r>
              <w:rPr>
                <w:rFonts w:hint="eastAsia" w:ascii="宋体" w:hAnsi="宋体" w:eastAsia="宋体" w:cs="宋体"/>
                <w:color w:val="auto"/>
                <w:sz w:val="21"/>
                <w:szCs w:val="21"/>
              </w:rPr>
              <w:t>生产中应按规定对设施定期检修、更换，杜绝人为因素造成事故发生。</w:t>
            </w:r>
          </w:p>
          <w:p>
            <w:pPr>
              <w:pStyle w:val="20"/>
              <w:spacing w:after="0"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pacing w:val="6"/>
                <w:sz w:val="21"/>
                <w:szCs w:val="21"/>
              </w:rPr>
              <w:t>④建立健全环保机构，分工负责，加强监督，完善环境管理。</w:t>
            </w:r>
            <w:r>
              <w:rPr>
                <w:rFonts w:hint="eastAsia" w:ascii="宋体" w:hAnsi="宋体" w:eastAsia="宋体" w:cs="宋体"/>
                <w:color w:val="auto"/>
                <w:sz w:val="21"/>
                <w:szCs w:val="21"/>
              </w:rPr>
              <w:t>随时接受当地环保部门的监督。</w:t>
            </w:r>
          </w:p>
          <w:p>
            <w:pPr>
              <w:spacing w:line="360" w:lineRule="auto"/>
              <w:rPr>
                <w:rFonts w:hint="default" w:ascii="宋体" w:hAnsi="宋体" w:eastAsia="宋体" w:cs="宋体"/>
                <w:color w:val="auto"/>
                <w:spacing w:val="6"/>
                <w:sz w:val="21"/>
                <w:szCs w:val="21"/>
                <w:lang w:val="en-US" w:eastAsia="zh-CN"/>
              </w:rPr>
            </w:pPr>
            <w:r>
              <w:rPr>
                <w:rFonts w:hint="eastAsia" w:ascii="宋体" w:hAnsi="宋体" w:eastAsia="宋体" w:cs="宋体"/>
                <w:color w:val="auto"/>
                <w:spacing w:val="6"/>
                <w:sz w:val="21"/>
                <w:szCs w:val="21"/>
                <w:lang w:val="en-US" w:eastAsia="zh-CN"/>
              </w:rPr>
              <w:t>⑤</w:t>
            </w:r>
            <w:r>
              <w:rPr>
                <w:rFonts w:hint="default" w:ascii="宋体" w:hAnsi="宋体" w:eastAsia="宋体" w:cs="宋体"/>
                <w:color w:val="auto"/>
                <w:spacing w:val="6"/>
                <w:sz w:val="21"/>
                <w:szCs w:val="21"/>
                <w:lang w:val="en-US" w:eastAsia="zh-CN"/>
              </w:rPr>
              <w:t>项目建设过程中必须严格执行“三同时”制度，落实本环境影响报告提出的各项措施，加强对各污染物治理，确保各项污染物达标排放，建成后及时进行竣工验收。</w:t>
            </w:r>
          </w:p>
          <w:p>
            <w:pPr>
              <w:spacing w:line="360" w:lineRule="auto"/>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⑥根据《排污许可证管理暂行规定》，本项目在《固定污染源排污许可分类管理名录（2019 年版）》规定的管理的行业内属于登记管理，不需申领排污许可证，应在全国排污许可证管理信息平台登记。</w:t>
            </w:r>
          </w:p>
        </w:tc>
      </w:tr>
    </w:tbl>
    <w:p>
      <w:pPr>
        <w:pStyle w:val="21"/>
        <w:jc w:val="center"/>
        <w:outlineLvl w:val="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br w:type="page"/>
      </w:r>
      <w:bookmarkStart w:id="59" w:name="_Toc7431"/>
      <w:bookmarkStart w:id="60" w:name="_Toc3891"/>
      <w:bookmarkStart w:id="61" w:name="_Toc7614"/>
      <w:r>
        <w:rPr>
          <w:rFonts w:hint="eastAsia" w:ascii="宋体" w:hAnsi="宋体" w:eastAsia="宋体" w:cs="宋体"/>
          <w:snapToGrid w:val="0"/>
          <w:color w:val="auto"/>
          <w:sz w:val="32"/>
          <w:szCs w:val="32"/>
        </w:rPr>
        <w:t>六、结论</w:t>
      </w:r>
      <w:bookmarkEnd w:id="59"/>
      <w:bookmarkEnd w:id="60"/>
      <w:bookmarkEnd w:id="61"/>
    </w:p>
    <w:tbl>
      <w:tblPr>
        <w:tblStyle w:val="26"/>
        <w:tblW w:w="886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991" w:hRule="atLeast"/>
          <w:jc w:val="center"/>
        </w:trPr>
        <w:tc>
          <w:tcPr>
            <w:tcW w:w="88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勐海县勐海镇</w:t>
            </w:r>
            <w:r>
              <w:rPr>
                <w:rFonts w:hint="eastAsia" w:ascii="宋体" w:hAnsi="宋体" w:eastAsia="宋体" w:cs="宋体"/>
                <w:color w:val="auto"/>
                <w:sz w:val="24"/>
                <w:szCs w:val="24"/>
                <w:lang w:eastAsia="zh-CN"/>
              </w:rPr>
              <w:t>卫生院</w:t>
            </w:r>
            <w:r>
              <w:rPr>
                <w:rFonts w:hint="eastAsia" w:ascii="宋体" w:hAnsi="宋体" w:eastAsia="宋体" w:cs="宋体"/>
                <w:color w:val="auto"/>
                <w:sz w:val="24"/>
                <w:szCs w:val="24"/>
              </w:rPr>
              <w:t>的建设符合国家及地方产业政策，符合相关规划、选址合理，平面布局合理可行。通过采取相应环保措施后，项目运营产生的废气、废水、噪声和固废能够达到有关标准要求，对环境的影响较小。从环境</w:t>
            </w:r>
            <w:r>
              <w:rPr>
                <w:rFonts w:hint="eastAsia" w:ascii="宋体" w:hAnsi="宋体" w:eastAsia="宋体" w:cs="宋体"/>
                <w:color w:val="auto"/>
                <w:sz w:val="24"/>
                <w:szCs w:val="24"/>
                <w:lang w:eastAsia="zh-CN"/>
              </w:rPr>
              <w:t>保护</w:t>
            </w:r>
            <w:r>
              <w:rPr>
                <w:rFonts w:hint="eastAsia" w:ascii="宋体" w:hAnsi="宋体" w:eastAsia="宋体" w:cs="宋体"/>
                <w:color w:val="auto"/>
                <w:sz w:val="24"/>
                <w:szCs w:val="24"/>
              </w:rPr>
              <w:t>影响分析的角度上，本项目的建设是可行的。</w:t>
            </w:r>
          </w:p>
          <w:p>
            <w:pPr>
              <w:spacing w:line="360" w:lineRule="auto"/>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p>
            <w:pPr>
              <w:pStyle w:val="46"/>
              <w:rPr>
                <w:rFonts w:hint="eastAsia" w:ascii="宋体" w:hAnsi="宋体" w:eastAsia="宋体" w:cs="宋体"/>
                <w:color w:val="auto"/>
                <w:sz w:val="24"/>
                <w:szCs w:val="24"/>
              </w:rPr>
            </w:pPr>
          </w:p>
        </w:tc>
      </w:tr>
    </w:tbl>
    <w:p>
      <w:pPr>
        <w:rPr>
          <w:rFonts w:hint="eastAsia" w:ascii="宋体" w:hAnsi="宋体" w:eastAsia="宋体" w:cs="宋体"/>
          <w:color w:val="auto"/>
          <w:sz w:val="24"/>
          <w:szCs w:val="24"/>
        </w:rPr>
        <w:sectPr>
          <w:pgSz w:w="11906" w:h="16838"/>
          <w:pgMar w:top="1701" w:right="1531" w:bottom="1701" w:left="1531" w:header="851" w:footer="851" w:gutter="0"/>
          <w:pgNumType w:fmt="decimal"/>
          <w:cols w:space="720" w:num="1"/>
          <w:docGrid w:linePitch="312" w:charSpace="0"/>
        </w:sectPr>
      </w:pPr>
    </w:p>
    <w:p>
      <w:pPr>
        <w:pStyle w:val="21"/>
        <w:adjustRightInd w:val="0"/>
        <w:snapToGrid w:val="0"/>
        <w:spacing w:before="0" w:beforeAutospacing="0" w:after="0" w:afterAutospacing="0"/>
        <w:ind w:firstLine="0" w:firstLineChars="0"/>
        <w:outlineLvl w:val="9"/>
        <w:rPr>
          <w:rFonts w:hint="eastAsia" w:ascii="宋体" w:hAnsi="宋体" w:eastAsia="宋体" w:cs="宋体"/>
          <w:b/>
          <w:snapToGrid w:val="0"/>
          <w:color w:val="auto"/>
          <w:sz w:val="24"/>
          <w:szCs w:val="24"/>
        </w:rPr>
      </w:pPr>
      <w:bookmarkStart w:id="62" w:name="_Toc23479"/>
      <w:bookmarkStart w:id="63" w:name="_Toc71731129"/>
      <w:r>
        <w:rPr>
          <w:rFonts w:hint="eastAsia" w:ascii="宋体" w:hAnsi="宋体" w:eastAsia="宋体" w:cs="宋体"/>
          <w:b/>
          <w:snapToGrid w:val="0"/>
          <w:color w:val="auto"/>
          <w:sz w:val="24"/>
          <w:szCs w:val="24"/>
        </w:rPr>
        <w:t>附表</w:t>
      </w:r>
      <w:bookmarkEnd w:id="62"/>
      <w:bookmarkEnd w:id="63"/>
    </w:p>
    <w:p>
      <w:pPr>
        <w:pStyle w:val="21"/>
        <w:adjustRightInd w:val="0"/>
        <w:snapToGrid w:val="0"/>
        <w:spacing w:before="0" w:beforeAutospacing="0" w:after="0" w:afterAutospacing="0"/>
        <w:ind w:firstLine="720"/>
        <w:jc w:val="center"/>
        <w:outlineLvl w:val="9"/>
        <w:rPr>
          <w:rFonts w:hint="eastAsia" w:ascii="宋体" w:hAnsi="宋体" w:eastAsia="宋体" w:cs="宋体"/>
          <w:b/>
          <w:bCs/>
          <w:snapToGrid w:val="0"/>
          <w:color w:val="auto"/>
          <w:sz w:val="24"/>
          <w:szCs w:val="24"/>
        </w:rPr>
      </w:pPr>
      <w:bookmarkStart w:id="64" w:name="_Toc71731130"/>
      <w:bookmarkStart w:id="65" w:name="_Toc10763"/>
      <w:r>
        <w:rPr>
          <w:rFonts w:hint="eastAsia" w:ascii="宋体" w:hAnsi="宋体" w:eastAsia="宋体" w:cs="宋体"/>
          <w:b/>
          <w:bCs/>
          <w:snapToGrid w:val="0"/>
          <w:color w:val="auto"/>
          <w:sz w:val="24"/>
          <w:szCs w:val="24"/>
        </w:rPr>
        <w:t>建设项目污染物排放量汇总表</w:t>
      </w:r>
      <w:bookmarkEnd w:id="64"/>
      <w:bookmarkEnd w:id="65"/>
    </w:p>
    <w:tbl>
      <w:tblPr>
        <w:tblStyle w:val="26"/>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419"/>
        <w:gridCol w:w="1230"/>
        <w:gridCol w:w="1395"/>
        <w:gridCol w:w="1875"/>
        <w:gridCol w:w="1455"/>
        <w:gridCol w:w="1740"/>
        <w:gridCol w:w="16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right"/>
              <w:textAlignment w:val="auto"/>
              <w:rPr>
                <w:rFonts w:hint="eastAsia" w:ascii="宋体" w:hAnsi="宋体" w:eastAsia="宋体" w:cs="宋体"/>
                <w:snapToGrid w:val="0"/>
                <w:color w:val="auto"/>
                <w:spacing w:val="-6"/>
                <w:kern w:val="21"/>
                <w:sz w:val="24"/>
                <w:szCs w:val="24"/>
              </w:rPr>
            </w:pPr>
            <w:bookmarkStart w:id="66" w:name="_Toc30523"/>
            <w:r>
              <w:rPr>
                <w:rFonts w:hint="eastAsia" w:ascii="宋体" w:hAnsi="宋体" w:eastAsia="宋体" w:cs="宋体"/>
                <w:snapToGrid w:val="0"/>
                <w:color w:val="auto"/>
                <w:spacing w:val="-6"/>
                <w:kern w:val="21"/>
                <w:sz w:val="24"/>
                <w:szCs w:val="24"/>
              </w:rPr>
              <w:t>项目</w:t>
            </w:r>
          </w:p>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left"/>
              <w:textAlignment w:val="auto"/>
              <w:rPr>
                <w:rFonts w:hint="eastAsia" w:ascii="宋体" w:hAnsi="宋体" w:eastAsia="宋体" w:cs="宋体"/>
                <w:snapToGrid w:val="0"/>
                <w:color w:val="auto"/>
                <w:spacing w:val="-6"/>
                <w:kern w:val="21"/>
                <w:sz w:val="24"/>
                <w:szCs w:val="24"/>
              </w:rPr>
            </w:pPr>
            <w:r>
              <w:rPr>
                <w:rFonts w:hint="eastAsia" w:ascii="宋体" w:hAnsi="宋体" w:eastAsia="宋体" w:cs="宋体"/>
                <w:snapToGrid w:val="0"/>
                <w:color w:val="auto"/>
                <w:spacing w:val="-6"/>
                <w:kern w:val="21"/>
                <w:sz w:val="24"/>
                <w:szCs w:val="24"/>
              </w:rPr>
              <w:t>分类</w:t>
            </w:r>
          </w:p>
        </w:tc>
        <w:tc>
          <w:tcPr>
            <w:tcW w:w="1417" w:type="dxa"/>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spacing w:val="-6"/>
                <w:kern w:val="21"/>
                <w:sz w:val="24"/>
                <w:szCs w:val="24"/>
              </w:rPr>
            </w:pPr>
            <w:r>
              <w:rPr>
                <w:rFonts w:hint="eastAsia" w:ascii="宋体" w:hAnsi="宋体" w:eastAsia="宋体" w:cs="宋体"/>
                <w:snapToGrid w:val="0"/>
                <w:color w:val="auto"/>
                <w:spacing w:val="-6"/>
                <w:kern w:val="21"/>
                <w:sz w:val="24"/>
                <w:szCs w:val="24"/>
              </w:rPr>
              <w:t>污染物名称</w:t>
            </w:r>
          </w:p>
        </w:tc>
        <w:tc>
          <w:tcPr>
            <w:tcW w:w="1419" w:type="dxa"/>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snapToGrid w:val="0"/>
                <w:color w:val="auto"/>
                <w:spacing w:val="-6"/>
                <w:kern w:val="21"/>
                <w:sz w:val="24"/>
                <w:szCs w:val="24"/>
              </w:rPr>
            </w:pPr>
            <w:r>
              <w:rPr>
                <w:rFonts w:hint="eastAsia" w:ascii="宋体" w:hAnsi="宋体" w:eastAsia="宋体" w:cs="宋体"/>
                <w:snapToGrid w:val="0"/>
                <w:color w:val="auto"/>
                <w:spacing w:val="-6"/>
                <w:kern w:val="21"/>
                <w:sz w:val="24"/>
                <w:szCs w:val="24"/>
              </w:rPr>
              <w:t>现有工程排放量（固体废物产生量）</w:t>
            </w:r>
            <w:r>
              <w:rPr>
                <w:rFonts w:hint="eastAsia" w:ascii="宋体" w:hAnsi="宋体" w:eastAsia="宋体" w:cs="宋体"/>
                <w:snapToGrid w:val="0"/>
                <w:color w:val="auto"/>
                <w:spacing w:val="-6"/>
                <w:kern w:val="21"/>
                <w:sz w:val="24"/>
                <w:szCs w:val="24"/>
              </w:rPr>
              <w:fldChar w:fldCharType="begin"/>
            </w:r>
            <w:r>
              <w:rPr>
                <w:rFonts w:hint="eastAsia" w:ascii="宋体" w:hAnsi="宋体" w:eastAsia="宋体" w:cs="宋体"/>
                <w:snapToGrid w:val="0"/>
                <w:color w:val="auto"/>
                <w:spacing w:val="-6"/>
                <w:kern w:val="21"/>
                <w:sz w:val="24"/>
                <w:szCs w:val="24"/>
              </w:rPr>
              <w:instrText xml:space="preserve"> = 1 \* GB3 \* MERGEFORMAT </w:instrText>
            </w:r>
            <w:r>
              <w:rPr>
                <w:rFonts w:hint="eastAsia" w:ascii="宋体" w:hAnsi="宋体" w:eastAsia="宋体" w:cs="宋体"/>
                <w:snapToGrid w:val="0"/>
                <w:color w:val="auto"/>
                <w:spacing w:val="-6"/>
                <w:kern w:val="21"/>
                <w:sz w:val="24"/>
                <w:szCs w:val="24"/>
              </w:rPr>
              <w:fldChar w:fldCharType="separate"/>
            </w:r>
            <w:r>
              <w:rPr>
                <w:rFonts w:hint="eastAsia" w:ascii="宋体" w:hAnsi="宋体" w:eastAsia="宋体" w:cs="宋体"/>
                <w:color w:val="auto"/>
                <w:kern w:val="2"/>
                <w:sz w:val="24"/>
                <w:szCs w:val="24"/>
              </w:rPr>
              <w:t>①</w:t>
            </w:r>
            <w:r>
              <w:rPr>
                <w:rFonts w:hint="eastAsia" w:ascii="宋体" w:hAnsi="宋体" w:eastAsia="宋体" w:cs="宋体"/>
                <w:snapToGrid w:val="0"/>
                <w:color w:val="auto"/>
                <w:spacing w:val="-6"/>
                <w:kern w:val="21"/>
                <w:sz w:val="24"/>
                <w:szCs w:val="24"/>
              </w:rPr>
              <w:fldChar w:fldCharType="end"/>
            </w:r>
          </w:p>
        </w:tc>
        <w:tc>
          <w:tcPr>
            <w:tcW w:w="1230" w:type="dxa"/>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snapToGrid w:val="0"/>
                <w:color w:val="auto"/>
                <w:spacing w:val="-6"/>
                <w:kern w:val="21"/>
                <w:sz w:val="24"/>
                <w:szCs w:val="24"/>
              </w:rPr>
            </w:pPr>
            <w:r>
              <w:rPr>
                <w:rFonts w:hint="eastAsia" w:ascii="宋体" w:hAnsi="宋体" w:eastAsia="宋体" w:cs="宋体"/>
                <w:snapToGrid w:val="0"/>
                <w:color w:val="auto"/>
                <w:spacing w:val="-6"/>
                <w:kern w:val="21"/>
                <w:sz w:val="24"/>
                <w:szCs w:val="24"/>
              </w:rPr>
              <w:t>现有工程许可排放量</w:t>
            </w:r>
            <w:r>
              <w:rPr>
                <w:rFonts w:hint="eastAsia" w:ascii="宋体" w:hAnsi="宋体" w:eastAsia="宋体" w:cs="宋体"/>
                <w:snapToGrid w:val="0"/>
                <w:color w:val="auto"/>
                <w:spacing w:val="-6"/>
                <w:kern w:val="21"/>
                <w:sz w:val="24"/>
                <w:szCs w:val="24"/>
              </w:rPr>
              <w:fldChar w:fldCharType="begin"/>
            </w:r>
            <w:r>
              <w:rPr>
                <w:rFonts w:hint="eastAsia" w:ascii="宋体" w:hAnsi="宋体" w:eastAsia="宋体" w:cs="宋体"/>
                <w:snapToGrid w:val="0"/>
                <w:color w:val="auto"/>
                <w:spacing w:val="-6"/>
                <w:kern w:val="21"/>
                <w:sz w:val="24"/>
                <w:szCs w:val="24"/>
              </w:rPr>
              <w:instrText xml:space="preserve"> = 2 \* GB3 \* MERGEFORMAT </w:instrText>
            </w:r>
            <w:r>
              <w:rPr>
                <w:rFonts w:hint="eastAsia" w:ascii="宋体" w:hAnsi="宋体" w:eastAsia="宋体" w:cs="宋体"/>
                <w:snapToGrid w:val="0"/>
                <w:color w:val="auto"/>
                <w:spacing w:val="-6"/>
                <w:kern w:val="21"/>
                <w:sz w:val="24"/>
                <w:szCs w:val="24"/>
              </w:rPr>
              <w:fldChar w:fldCharType="separate"/>
            </w:r>
            <w:r>
              <w:rPr>
                <w:rFonts w:hint="eastAsia" w:ascii="宋体" w:hAnsi="宋体" w:eastAsia="宋体" w:cs="宋体"/>
                <w:snapToGrid w:val="0"/>
                <w:color w:val="auto"/>
                <w:spacing w:val="-6"/>
                <w:kern w:val="21"/>
                <w:sz w:val="24"/>
                <w:szCs w:val="24"/>
              </w:rPr>
              <w:t>②</w:t>
            </w:r>
            <w:r>
              <w:rPr>
                <w:rFonts w:hint="eastAsia" w:ascii="宋体" w:hAnsi="宋体" w:eastAsia="宋体" w:cs="宋体"/>
                <w:snapToGrid w:val="0"/>
                <w:color w:val="auto"/>
                <w:spacing w:val="-6"/>
                <w:kern w:val="21"/>
                <w:sz w:val="24"/>
                <w:szCs w:val="24"/>
              </w:rPr>
              <w:fldChar w:fldCharType="end"/>
            </w:r>
          </w:p>
        </w:tc>
        <w:tc>
          <w:tcPr>
            <w:tcW w:w="1395" w:type="dxa"/>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snapToGrid w:val="0"/>
                <w:color w:val="auto"/>
                <w:spacing w:val="-6"/>
                <w:kern w:val="21"/>
                <w:sz w:val="24"/>
                <w:szCs w:val="24"/>
              </w:rPr>
            </w:pPr>
            <w:r>
              <w:rPr>
                <w:rFonts w:hint="eastAsia" w:ascii="宋体" w:hAnsi="宋体" w:eastAsia="宋体" w:cs="宋体"/>
                <w:snapToGrid w:val="0"/>
                <w:color w:val="auto"/>
                <w:spacing w:val="-6"/>
                <w:kern w:val="21"/>
                <w:sz w:val="24"/>
                <w:szCs w:val="24"/>
              </w:rPr>
              <w:t>在建工程排放量（固体废物产生量）</w:t>
            </w:r>
            <w:r>
              <w:rPr>
                <w:rFonts w:hint="eastAsia" w:ascii="宋体" w:hAnsi="宋体" w:eastAsia="宋体" w:cs="宋体"/>
                <w:snapToGrid w:val="0"/>
                <w:color w:val="auto"/>
                <w:spacing w:val="-6"/>
                <w:kern w:val="21"/>
                <w:sz w:val="24"/>
                <w:szCs w:val="24"/>
              </w:rPr>
              <w:fldChar w:fldCharType="begin"/>
            </w:r>
            <w:r>
              <w:rPr>
                <w:rFonts w:hint="eastAsia" w:ascii="宋体" w:hAnsi="宋体" w:eastAsia="宋体" w:cs="宋体"/>
                <w:snapToGrid w:val="0"/>
                <w:color w:val="auto"/>
                <w:spacing w:val="-6"/>
                <w:kern w:val="21"/>
                <w:sz w:val="24"/>
                <w:szCs w:val="24"/>
              </w:rPr>
              <w:instrText xml:space="preserve"> = 3 \* GB3 \* MERGEFORMAT </w:instrText>
            </w:r>
            <w:r>
              <w:rPr>
                <w:rFonts w:hint="eastAsia" w:ascii="宋体" w:hAnsi="宋体" w:eastAsia="宋体" w:cs="宋体"/>
                <w:snapToGrid w:val="0"/>
                <w:color w:val="auto"/>
                <w:spacing w:val="-6"/>
                <w:kern w:val="21"/>
                <w:sz w:val="24"/>
                <w:szCs w:val="24"/>
              </w:rPr>
              <w:fldChar w:fldCharType="separate"/>
            </w:r>
            <w:r>
              <w:rPr>
                <w:rFonts w:hint="eastAsia" w:ascii="宋体" w:hAnsi="宋体" w:eastAsia="宋体" w:cs="宋体"/>
                <w:color w:val="auto"/>
                <w:kern w:val="2"/>
                <w:sz w:val="24"/>
                <w:szCs w:val="24"/>
              </w:rPr>
              <w:t>③</w:t>
            </w:r>
            <w:r>
              <w:rPr>
                <w:rFonts w:hint="eastAsia" w:ascii="宋体" w:hAnsi="宋体" w:eastAsia="宋体" w:cs="宋体"/>
                <w:snapToGrid w:val="0"/>
                <w:color w:val="auto"/>
                <w:spacing w:val="-6"/>
                <w:kern w:val="21"/>
                <w:sz w:val="24"/>
                <w:szCs w:val="24"/>
              </w:rPr>
              <w:fldChar w:fldCharType="end"/>
            </w:r>
          </w:p>
        </w:tc>
        <w:tc>
          <w:tcPr>
            <w:tcW w:w="1875" w:type="dxa"/>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snapToGrid w:val="0"/>
                <w:color w:val="auto"/>
                <w:spacing w:val="-6"/>
                <w:kern w:val="21"/>
                <w:sz w:val="24"/>
                <w:szCs w:val="24"/>
              </w:rPr>
            </w:pPr>
            <w:r>
              <w:rPr>
                <w:rFonts w:hint="eastAsia" w:ascii="宋体" w:hAnsi="宋体" w:eastAsia="宋体" w:cs="宋体"/>
                <w:snapToGrid w:val="0"/>
                <w:color w:val="auto"/>
                <w:spacing w:val="-6"/>
                <w:kern w:val="21"/>
                <w:sz w:val="24"/>
                <w:szCs w:val="24"/>
              </w:rPr>
              <w:t>本项目排放量（固体废物产生量）</w:t>
            </w:r>
            <w:r>
              <w:rPr>
                <w:rFonts w:hint="eastAsia" w:ascii="宋体" w:hAnsi="宋体" w:eastAsia="宋体" w:cs="宋体"/>
                <w:snapToGrid w:val="0"/>
                <w:color w:val="auto"/>
                <w:spacing w:val="-6"/>
                <w:kern w:val="21"/>
                <w:sz w:val="24"/>
                <w:szCs w:val="24"/>
              </w:rPr>
              <w:fldChar w:fldCharType="begin"/>
            </w:r>
            <w:r>
              <w:rPr>
                <w:rFonts w:hint="eastAsia" w:ascii="宋体" w:hAnsi="宋体" w:eastAsia="宋体" w:cs="宋体"/>
                <w:snapToGrid w:val="0"/>
                <w:color w:val="auto"/>
                <w:spacing w:val="-6"/>
                <w:kern w:val="21"/>
                <w:sz w:val="24"/>
                <w:szCs w:val="24"/>
              </w:rPr>
              <w:instrText xml:space="preserve"> = 4 \* GB3 \* MERGEFORMAT </w:instrText>
            </w:r>
            <w:r>
              <w:rPr>
                <w:rFonts w:hint="eastAsia" w:ascii="宋体" w:hAnsi="宋体" w:eastAsia="宋体" w:cs="宋体"/>
                <w:snapToGrid w:val="0"/>
                <w:color w:val="auto"/>
                <w:spacing w:val="-6"/>
                <w:kern w:val="21"/>
                <w:sz w:val="24"/>
                <w:szCs w:val="24"/>
              </w:rPr>
              <w:fldChar w:fldCharType="separate"/>
            </w:r>
            <w:r>
              <w:rPr>
                <w:rFonts w:hint="eastAsia" w:ascii="宋体" w:hAnsi="宋体" w:eastAsia="宋体" w:cs="宋体"/>
                <w:color w:val="auto"/>
                <w:kern w:val="2"/>
                <w:sz w:val="24"/>
                <w:szCs w:val="24"/>
              </w:rPr>
              <w:t>④</w:t>
            </w:r>
            <w:r>
              <w:rPr>
                <w:rFonts w:hint="eastAsia" w:ascii="宋体" w:hAnsi="宋体" w:eastAsia="宋体" w:cs="宋体"/>
                <w:snapToGrid w:val="0"/>
                <w:color w:val="auto"/>
                <w:spacing w:val="-6"/>
                <w:kern w:val="21"/>
                <w:sz w:val="24"/>
                <w:szCs w:val="24"/>
              </w:rPr>
              <w:fldChar w:fldCharType="end"/>
            </w:r>
          </w:p>
        </w:tc>
        <w:tc>
          <w:tcPr>
            <w:tcW w:w="1455" w:type="dxa"/>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spacing w:val="-16"/>
                <w:kern w:val="21"/>
                <w:sz w:val="24"/>
                <w:szCs w:val="24"/>
              </w:rPr>
            </w:pPr>
            <w:r>
              <w:rPr>
                <w:rFonts w:hint="eastAsia" w:ascii="宋体" w:hAnsi="宋体" w:eastAsia="宋体" w:cs="宋体"/>
                <w:snapToGrid w:val="0"/>
                <w:color w:val="auto"/>
                <w:spacing w:val="-16"/>
                <w:kern w:val="21"/>
                <w:sz w:val="24"/>
                <w:szCs w:val="24"/>
              </w:rPr>
              <w:t>以新带老削减量</w:t>
            </w:r>
          </w:p>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spacing w:val="-16"/>
                <w:kern w:val="21"/>
                <w:sz w:val="24"/>
                <w:szCs w:val="24"/>
              </w:rPr>
            </w:pPr>
            <w:r>
              <w:rPr>
                <w:rFonts w:hint="eastAsia" w:ascii="宋体" w:hAnsi="宋体" w:eastAsia="宋体" w:cs="宋体"/>
                <w:snapToGrid w:val="0"/>
                <w:color w:val="auto"/>
                <w:spacing w:val="-16"/>
                <w:kern w:val="21"/>
                <w:sz w:val="24"/>
                <w:szCs w:val="24"/>
              </w:rPr>
              <w:t>（新建项目不填）</w:t>
            </w:r>
            <w:r>
              <w:rPr>
                <w:rFonts w:hint="eastAsia" w:ascii="宋体" w:hAnsi="宋体" w:eastAsia="宋体" w:cs="宋体"/>
                <w:snapToGrid w:val="0"/>
                <w:color w:val="auto"/>
                <w:spacing w:val="-16"/>
                <w:kern w:val="21"/>
                <w:sz w:val="24"/>
                <w:szCs w:val="24"/>
              </w:rPr>
              <w:fldChar w:fldCharType="begin"/>
            </w:r>
            <w:r>
              <w:rPr>
                <w:rFonts w:hint="eastAsia" w:ascii="宋体" w:hAnsi="宋体" w:eastAsia="宋体" w:cs="宋体"/>
                <w:snapToGrid w:val="0"/>
                <w:color w:val="auto"/>
                <w:spacing w:val="-16"/>
                <w:kern w:val="21"/>
                <w:sz w:val="24"/>
                <w:szCs w:val="24"/>
              </w:rPr>
              <w:instrText xml:space="preserve"> = 5 \* GB3 \* MERGEFORMAT </w:instrText>
            </w:r>
            <w:r>
              <w:rPr>
                <w:rFonts w:hint="eastAsia" w:ascii="宋体" w:hAnsi="宋体" w:eastAsia="宋体" w:cs="宋体"/>
                <w:snapToGrid w:val="0"/>
                <w:color w:val="auto"/>
                <w:spacing w:val="-16"/>
                <w:kern w:val="21"/>
                <w:sz w:val="24"/>
                <w:szCs w:val="24"/>
              </w:rPr>
              <w:fldChar w:fldCharType="separate"/>
            </w:r>
            <w:r>
              <w:rPr>
                <w:rFonts w:hint="eastAsia" w:ascii="宋体" w:hAnsi="宋体" w:eastAsia="宋体" w:cs="宋体"/>
                <w:color w:val="auto"/>
                <w:kern w:val="2"/>
                <w:sz w:val="24"/>
                <w:szCs w:val="24"/>
              </w:rPr>
              <w:t>⑤</w:t>
            </w:r>
            <w:r>
              <w:rPr>
                <w:rFonts w:hint="eastAsia" w:ascii="宋体" w:hAnsi="宋体" w:eastAsia="宋体" w:cs="宋体"/>
                <w:snapToGrid w:val="0"/>
                <w:color w:val="auto"/>
                <w:spacing w:val="-16"/>
                <w:kern w:val="21"/>
                <w:sz w:val="24"/>
                <w:szCs w:val="24"/>
              </w:rPr>
              <w:fldChar w:fldCharType="end"/>
            </w:r>
          </w:p>
        </w:tc>
        <w:tc>
          <w:tcPr>
            <w:tcW w:w="1740" w:type="dxa"/>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宋体" w:hAnsi="宋体" w:eastAsia="宋体" w:cs="宋体"/>
                <w:snapToGrid w:val="0"/>
                <w:color w:val="auto"/>
                <w:spacing w:val="-16"/>
                <w:kern w:val="21"/>
                <w:sz w:val="24"/>
                <w:szCs w:val="24"/>
              </w:rPr>
            </w:pPr>
            <w:r>
              <w:rPr>
                <w:rFonts w:hint="eastAsia" w:ascii="宋体" w:hAnsi="宋体" w:eastAsia="宋体" w:cs="宋体"/>
                <w:snapToGrid w:val="0"/>
                <w:color w:val="auto"/>
                <w:spacing w:val="-16"/>
                <w:kern w:val="21"/>
                <w:sz w:val="24"/>
                <w:szCs w:val="24"/>
              </w:rPr>
              <w:t>本项目建成后全厂排放量（固体废物产生量）</w:t>
            </w:r>
            <w:r>
              <w:rPr>
                <w:rFonts w:hint="eastAsia" w:ascii="宋体" w:hAnsi="宋体" w:eastAsia="宋体" w:cs="宋体"/>
                <w:snapToGrid w:val="0"/>
                <w:color w:val="auto"/>
                <w:spacing w:val="-16"/>
                <w:kern w:val="21"/>
                <w:sz w:val="24"/>
                <w:szCs w:val="24"/>
              </w:rPr>
              <w:fldChar w:fldCharType="begin"/>
            </w:r>
            <w:r>
              <w:rPr>
                <w:rFonts w:hint="eastAsia" w:ascii="宋体" w:hAnsi="宋体" w:eastAsia="宋体" w:cs="宋体"/>
                <w:snapToGrid w:val="0"/>
                <w:color w:val="auto"/>
                <w:spacing w:val="-16"/>
                <w:kern w:val="21"/>
                <w:sz w:val="24"/>
                <w:szCs w:val="24"/>
              </w:rPr>
              <w:instrText xml:space="preserve"> = 6 \* GB3 \* MERGEFORMAT </w:instrText>
            </w:r>
            <w:r>
              <w:rPr>
                <w:rFonts w:hint="eastAsia" w:ascii="宋体" w:hAnsi="宋体" w:eastAsia="宋体" w:cs="宋体"/>
                <w:snapToGrid w:val="0"/>
                <w:color w:val="auto"/>
                <w:spacing w:val="-16"/>
                <w:kern w:val="21"/>
                <w:sz w:val="24"/>
                <w:szCs w:val="24"/>
              </w:rPr>
              <w:fldChar w:fldCharType="separate"/>
            </w:r>
            <w:r>
              <w:rPr>
                <w:rFonts w:hint="eastAsia" w:ascii="宋体" w:hAnsi="宋体" w:eastAsia="宋体" w:cs="宋体"/>
                <w:color w:val="auto"/>
                <w:kern w:val="2"/>
                <w:sz w:val="24"/>
                <w:szCs w:val="24"/>
              </w:rPr>
              <w:t>⑥</w:t>
            </w:r>
            <w:r>
              <w:rPr>
                <w:rFonts w:hint="eastAsia" w:ascii="宋体" w:hAnsi="宋体" w:eastAsia="宋体" w:cs="宋体"/>
                <w:snapToGrid w:val="0"/>
                <w:color w:val="auto"/>
                <w:spacing w:val="-16"/>
                <w:kern w:val="21"/>
                <w:sz w:val="24"/>
                <w:szCs w:val="24"/>
              </w:rPr>
              <w:fldChar w:fldCharType="end"/>
            </w:r>
          </w:p>
        </w:tc>
        <w:tc>
          <w:tcPr>
            <w:tcW w:w="1669" w:type="dxa"/>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228" w:firstLineChars="100"/>
              <w:jc w:val="both"/>
              <w:textAlignment w:val="auto"/>
              <w:rPr>
                <w:rFonts w:hint="eastAsia" w:ascii="宋体" w:hAnsi="宋体" w:eastAsia="宋体" w:cs="宋体"/>
                <w:snapToGrid w:val="0"/>
                <w:color w:val="auto"/>
                <w:spacing w:val="-6"/>
                <w:kern w:val="21"/>
                <w:sz w:val="24"/>
                <w:szCs w:val="24"/>
              </w:rPr>
            </w:pPr>
            <w:r>
              <w:rPr>
                <w:rFonts w:hint="eastAsia" w:ascii="宋体" w:hAnsi="宋体" w:eastAsia="宋体" w:cs="宋体"/>
                <w:snapToGrid w:val="0"/>
                <w:color w:val="auto"/>
                <w:spacing w:val="-6"/>
                <w:kern w:val="21"/>
                <w:sz w:val="24"/>
                <w:szCs w:val="24"/>
              </w:rPr>
              <w:t>变化量</w:t>
            </w:r>
            <w:r>
              <w:rPr>
                <w:rFonts w:hint="eastAsia" w:ascii="宋体" w:hAnsi="宋体" w:eastAsia="宋体" w:cs="宋体"/>
                <w:snapToGrid w:val="0"/>
                <w:color w:val="auto"/>
                <w:spacing w:val="-6"/>
                <w:kern w:val="21"/>
                <w:sz w:val="24"/>
                <w:szCs w:val="24"/>
              </w:rPr>
              <w:fldChar w:fldCharType="begin"/>
            </w:r>
            <w:r>
              <w:rPr>
                <w:rFonts w:hint="eastAsia" w:ascii="宋体" w:hAnsi="宋体" w:eastAsia="宋体" w:cs="宋体"/>
                <w:snapToGrid w:val="0"/>
                <w:color w:val="auto"/>
                <w:spacing w:val="-6"/>
                <w:kern w:val="21"/>
                <w:sz w:val="24"/>
                <w:szCs w:val="24"/>
              </w:rPr>
              <w:instrText xml:space="preserve"> = 7 \* GB3 \* MERGEFORMAT </w:instrText>
            </w:r>
            <w:r>
              <w:rPr>
                <w:rFonts w:hint="eastAsia" w:ascii="宋体" w:hAnsi="宋体" w:eastAsia="宋体" w:cs="宋体"/>
                <w:snapToGrid w:val="0"/>
                <w:color w:val="auto"/>
                <w:spacing w:val="-6"/>
                <w:kern w:val="21"/>
                <w:sz w:val="24"/>
                <w:szCs w:val="24"/>
              </w:rPr>
              <w:fldChar w:fldCharType="separate"/>
            </w:r>
            <w:r>
              <w:rPr>
                <w:rFonts w:hint="eastAsia" w:ascii="宋体" w:hAnsi="宋体" w:eastAsia="宋体" w:cs="宋体"/>
                <w:color w:val="auto"/>
                <w:kern w:val="2"/>
                <w:sz w:val="24"/>
                <w:szCs w:val="24"/>
              </w:rPr>
              <w:t>⑦</w:t>
            </w:r>
            <w:r>
              <w:rPr>
                <w:rFonts w:hint="eastAsia" w:ascii="宋体" w:hAnsi="宋体" w:eastAsia="宋体" w:cs="宋体"/>
                <w:snapToGrid w:val="0"/>
                <w:color w:val="auto"/>
                <w:spacing w:val="-6"/>
                <w:kern w:val="21"/>
                <w:sz w:val="24"/>
                <w:szCs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restart"/>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eastAsia="zh-CN"/>
              </w:rPr>
            </w:pPr>
            <w:r>
              <w:rPr>
                <w:rFonts w:hint="eastAsia" w:ascii="宋体" w:hAnsi="宋体" w:eastAsia="宋体" w:cs="宋体"/>
                <w:snapToGrid w:val="0"/>
                <w:color w:val="auto"/>
                <w:kern w:val="21"/>
                <w:sz w:val="24"/>
                <w:szCs w:val="24"/>
                <w:lang w:eastAsia="zh-CN"/>
              </w:rPr>
              <w:t>废气</w:t>
            </w:r>
          </w:p>
        </w:tc>
        <w:tc>
          <w:tcPr>
            <w:tcW w:w="1417"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NH</w:t>
            </w:r>
            <w:r>
              <w:rPr>
                <w:rFonts w:hint="eastAsia" w:ascii="宋体" w:hAnsi="宋体" w:eastAsia="宋体" w:cs="宋体"/>
                <w:snapToGrid w:val="0"/>
                <w:color w:val="auto"/>
                <w:kern w:val="21"/>
                <w:sz w:val="24"/>
                <w:szCs w:val="24"/>
                <w:vertAlign w:val="subscript"/>
                <w:lang w:val="en-US" w:eastAsia="zh-CN"/>
              </w:rPr>
              <w:t>3</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0.467</w:t>
            </w:r>
            <w:r>
              <w:rPr>
                <w:rFonts w:hint="eastAsia" w:ascii="宋体" w:hAnsi="宋体" w:eastAsia="宋体" w:cs="宋体"/>
                <w:snapToGrid w:val="0"/>
                <w:color w:val="auto"/>
                <w:kern w:val="21"/>
                <w:sz w:val="24"/>
                <w:szCs w:val="24"/>
              </w:rPr>
              <w:t>kg/a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0.467</w:t>
            </w:r>
            <w:r>
              <w:rPr>
                <w:rFonts w:hint="eastAsia" w:ascii="宋体" w:hAnsi="宋体" w:eastAsia="宋体" w:cs="宋体"/>
                <w:snapToGrid w:val="0"/>
                <w:color w:val="auto"/>
                <w:kern w:val="21"/>
                <w:sz w:val="24"/>
                <w:szCs w:val="24"/>
              </w:rPr>
              <w:t>kg/a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rPr>
            </w:pPr>
          </w:p>
        </w:tc>
        <w:tc>
          <w:tcPr>
            <w:tcW w:w="1417"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H</w:t>
            </w:r>
            <w:r>
              <w:rPr>
                <w:rFonts w:hint="eastAsia" w:ascii="宋体" w:hAnsi="宋体" w:eastAsia="宋体" w:cs="宋体"/>
                <w:snapToGrid w:val="0"/>
                <w:color w:val="auto"/>
                <w:kern w:val="21"/>
                <w:sz w:val="24"/>
                <w:szCs w:val="24"/>
                <w:vertAlign w:val="subscript"/>
                <w:lang w:val="en-US" w:eastAsia="zh-CN"/>
              </w:rPr>
              <w:t>2</w:t>
            </w:r>
            <w:r>
              <w:rPr>
                <w:rFonts w:hint="eastAsia" w:ascii="宋体" w:hAnsi="宋体" w:eastAsia="宋体" w:cs="宋体"/>
                <w:snapToGrid w:val="0"/>
                <w:color w:val="auto"/>
                <w:kern w:val="21"/>
                <w:sz w:val="24"/>
                <w:szCs w:val="24"/>
                <w:lang w:val="en-US" w:eastAsia="zh-CN"/>
              </w:rPr>
              <w:t>S</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0.018</w:t>
            </w:r>
            <w:r>
              <w:rPr>
                <w:rFonts w:hint="eastAsia" w:ascii="宋体" w:hAnsi="宋体" w:eastAsia="宋体" w:cs="宋体"/>
                <w:snapToGrid w:val="0"/>
                <w:color w:val="auto"/>
                <w:kern w:val="21"/>
                <w:sz w:val="24"/>
                <w:szCs w:val="24"/>
              </w:rPr>
              <w:t>kg/a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0.018</w:t>
            </w:r>
            <w:r>
              <w:rPr>
                <w:rFonts w:hint="eastAsia" w:ascii="宋体" w:hAnsi="宋体" w:eastAsia="宋体" w:cs="宋体"/>
                <w:snapToGrid w:val="0"/>
                <w:color w:val="auto"/>
                <w:kern w:val="21"/>
                <w:sz w:val="24"/>
                <w:szCs w:val="24"/>
              </w:rPr>
              <w:t>kg/a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restart"/>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rPr>
            </w:pPr>
            <w:r>
              <w:rPr>
                <w:rFonts w:hint="eastAsia" w:ascii="宋体" w:hAnsi="宋体" w:eastAsia="宋体" w:cs="宋体"/>
                <w:snapToGrid w:val="0"/>
                <w:color w:val="auto"/>
                <w:kern w:val="21"/>
                <w:sz w:val="24"/>
                <w:szCs w:val="24"/>
              </w:rPr>
              <w:t>废水</w:t>
            </w:r>
          </w:p>
        </w:tc>
        <w:tc>
          <w:tcPr>
            <w:tcW w:w="1417"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iCs w:val="0"/>
                <w:snapToGrid w:val="0"/>
                <w:color w:val="auto"/>
                <w:kern w:val="21"/>
                <w:sz w:val="24"/>
                <w:szCs w:val="24"/>
                <w:lang w:val="en-US" w:eastAsia="zh-CN" w:bidi="ar-SA"/>
              </w:rPr>
            </w:pPr>
            <w:r>
              <w:rPr>
                <w:rFonts w:hint="eastAsia" w:ascii="宋体" w:hAnsi="宋体" w:eastAsia="宋体" w:cs="宋体"/>
                <w:iCs w:val="0"/>
                <w:snapToGrid w:val="0"/>
                <w:color w:val="auto"/>
                <w:kern w:val="21"/>
                <w:sz w:val="24"/>
                <w:szCs w:val="24"/>
                <w:lang w:val="en-US" w:eastAsia="zh-CN" w:bidi="ar-SA"/>
              </w:rPr>
              <w:t>废水量</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2774.73t/a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2774.73t/a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rPr>
            </w:pPr>
          </w:p>
        </w:tc>
        <w:tc>
          <w:tcPr>
            <w:tcW w:w="1417" w:type="dxa"/>
            <w:vAlign w:val="center"/>
          </w:tcPr>
          <w:p>
            <w:pPr>
              <w:pStyle w:val="48"/>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iCs w:val="0"/>
                <w:snapToGrid w:val="0"/>
                <w:color w:val="auto"/>
                <w:kern w:val="21"/>
                <w:sz w:val="24"/>
                <w:szCs w:val="24"/>
                <w:lang w:val="en-US" w:eastAsia="zh-CN" w:bidi="ar-SA"/>
              </w:rPr>
            </w:pPr>
            <w:r>
              <w:rPr>
                <w:rFonts w:hint="eastAsia" w:ascii="宋体" w:hAnsi="宋体" w:eastAsia="宋体" w:cs="宋体"/>
                <w:iCs w:val="0"/>
                <w:snapToGrid w:val="0"/>
                <w:color w:val="auto"/>
                <w:kern w:val="21"/>
                <w:sz w:val="24"/>
                <w:szCs w:val="24"/>
                <w:lang w:val="en-US" w:eastAsia="zh-CN" w:bidi="ar-SA"/>
              </w:rPr>
              <w:t>COD</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0.10t/a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0.10t/a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rPr>
            </w:pPr>
          </w:p>
        </w:tc>
        <w:tc>
          <w:tcPr>
            <w:tcW w:w="1417" w:type="dxa"/>
            <w:vAlign w:val="center"/>
          </w:tcPr>
          <w:p>
            <w:pPr>
              <w:pStyle w:val="48"/>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iCs w:val="0"/>
                <w:snapToGrid w:val="0"/>
                <w:color w:val="auto"/>
                <w:kern w:val="21"/>
                <w:sz w:val="24"/>
                <w:szCs w:val="24"/>
                <w:lang w:val="en-US" w:eastAsia="zh-CN" w:bidi="ar-SA"/>
              </w:rPr>
            </w:pPr>
            <w:r>
              <w:rPr>
                <w:rFonts w:hint="eastAsia" w:ascii="宋体" w:hAnsi="宋体" w:eastAsia="宋体" w:cs="宋体"/>
                <w:iCs w:val="0"/>
                <w:snapToGrid w:val="0"/>
                <w:color w:val="auto"/>
                <w:kern w:val="21"/>
                <w:sz w:val="24"/>
                <w:szCs w:val="24"/>
                <w:lang w:val="en-US" w:eastAsia="zh-CN" w:bidi="ar-SA"/>
              </w:rPr>
              <w:t>BOD</w:t>
            </w:r>
            <w:r>
              <w:rPr>
                <w:rFonts w:hint="eastAsia" w:ascii="宋体" w:hAnsi="宋体" w:eastAsia="宋体" w:cs="宋体"/>
                <w:iCs w:val="0"/>
                <w:snapToGrid w:val="0"/>
                <w:color w:val="auto"/>
                <w:kern w:val="21"/>
                <w:sz w:val="24"/>
                <w:szCs w:val="24"/>
                <w:vertAlign w:val="subscript"/>
                <w:lang w:val="en-US" w:eastAsia="zh-CN" w:bidi="ar-SA"/>
              </w:rPr>
              <w:t>5</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0.028t/a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0.028t/a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b/>
                <w:bCs/>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rPr>
            </w:pPr>
          </w:p>
        </w:tc>
        <w:tc>
          <w:tcPr>
            <w:tcW w:w="1417" w:type="dxa"/>
            <w:vAlign w:val="center"/>
          </w:tcPr>
          <w:p>
            <w:pPr>
              <w:pStyle w:val="48"/>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iCs w:val="0"/>
                <w:snapToGrid w:val="0"/>
                <w:color w:val="auto"/>
                <w:kern w:val="21"/>
                <w:sz w:val="24"/>
                <w:szCs w:val="24"/>
                <w:lang w:val="en-US" w:eastAsia="zh-CN" w:bidi="ar-SA"/>
              </w:rPr>
            </w:pPr>
            <w:r>
              <w:rPr>
                <w:rFonts w:hint="eastAsia" w:ascii="宋体" w:hAnsi="宋体" w:eastAsia="宋体" w:cs="宋体"/>
                <w:iCs w:val="0"/>
                <w:snapToGrid w:val="0"/>
                <w:color w:val="auto"/>
                <w:kern w:val="21"/>
                <w:sz w:val="24"/>
                <w:szCs w:val="24"/>
                <w:lang w:val="en-US" w:eastAsia="zh-CN" w:bidi="ar-SA"/>
              </w:rPr>
              <w:t>氨氮</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0.025t/a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0.025t/a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restart"/>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一般固废</w:t>
            </w:r>
          </w:p>
        </w:tc>
        <w:tc>
          <w:tcPr>
            <w:tcW w:w="1417"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生活垃圾</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33.58t/a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33.58t/a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p>
        </w:tc>
        <w:tc>
          <w:tcPr>
            <w:tcW w:w="1417"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废包装材料</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0.365t/a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0.365t/a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p>
        </w:tc>
        <w:tc>
          <w:tcPr>
            <w:tcW w:w="1417"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药渣</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0.6564t/a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0.6564t/a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88" w:type="dxa"/>
            <w:vMerge w:val="restart"/>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rPr>
            </w:pPr>
            <w:r>
              <w:rPr>
                <w:rFonts w:hint="eastAsia" w:ascii="宋体" w:hAnsi="宋体" w:eastAsia="宋体" w:cs="宋体"/>
                <w:snapToGrid w:val="0"/>
                <w:color w:val="auto"/>
                <w:kern w:val="21"/>
                <w:sz w:val="24"/>
                <w:szCs w:val="24"/>
              </w:rPr>
              <w:t>危险废物</w:t>
            </w:r>
          </w:p>
        </w:tc>
        <w:tc>
          <w:tcPr>
            <w:tcW w:w="1417"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240" w:firstLineChars="100"/>
              <w:jc w:val="both"/>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医疗废物</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5.94</w:t>
            </w:r>
            <w:r>
              <w:rPr>
                <w:rFonts w:hint="eastAsia" w:hAnsi="宋体" w:cs="宋体"/>
                <w:snapToGrid w:val="0"/>
                <w:color w:val="auto"/>
                <w:kern w:val="21"/>
                <w:sz w:val="24"/>
                <w:szCs w:val="24"/>
                <w:lang w:val="en-US" w:eastAsia="zh-CN"/>
              </w:rPr>
              <w:t>1</w:t>
            </w:r>
            <w:r>
              <w:rPr>
                <w:rFonts w:hint="eastAsia" w:ascii="宋体" w:hAnsi="宋体" w:eastAsia="宋体" w:cs="宋体"/>
                <w:snapToGrid w:val="0"/>
                <w:color w:val="auto"/>
                <w:kern w:val="21"/>
                <w:sz w:val="24"/>
                <w:szCs w:val="24"/>
                <w:lang w:val="en-US" w:eastAsia="zh-CN"/>
              </w:rPr>
              <w:t>t/a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rPr>
            </w:pPr>
            <w:r>
              <w:rPr>
                <w:rFonts w:hint="eastAsia" w:ascii="宋体" w:hAnsi="宋体" w:eastAsia="宋体" w:cs="宋体"/>
                <w:snapToGrid w:val="0"/>
                <w:color w:val="auto"/>
                <w:kern w:val="21"/>
                <w:sz w:val="24"/>
                <w:szCs w:val="24"/>
                <w:lang w:val="en-US" w:eastAsia="zh-CN"/>
              </w:rPr>
              <w:t>5.94</w:t>
            </w:r>
            <w:r>
              <w:rPr>
                <w:rFonts w:hint="eastAsia" w:hAnsi="宋体" w:cs="宋体"/>
                <w:snapToGrid w:val="0"/>
                <w:color w:val="auto"/>
                <w:kern w:val="21"/>
                <w:sz w:val="24"/>
                <w:szCs w:val="24"/>
                <w:lang w:val="en-US" w:eastAsia="zh-CN"/>
              </w:rPr>
              <w:t>1</w:t>
            </w:r>
            <w:r>
              <w:rPr>
                <w:rFonts w:hint="eastAsia" w:ascii="宋体" w:hAnsi="宋体" w:eastAsia="宋体" w:cs="宋体"/>
                <w:snapToGrid w:val="0"/>
                <w:color w:val="auto"/>
                <w:kern w:val="21"/>
                <w:sz w:val="24"/>
                <w:szCs w:val="24"/>
                <w:lang w:val="en-US" w:eastAsia="zh-CN"/>
              </w:rPr>
              <w:t>t/a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rPr>
            </w:pPr>
            <w:r>
              <w:rPr>
                <w:rFonts w:hint="eastAsia" w:ascii="宋体" w:hAnsi="宋体" w:eastAsia="宋体" w:cs="宋体"/>
                <w:snapToGrid w:val="0"/>
                <w:color w:val="auto"/>
                <w:kern w:val="21"/>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rPr>
            </w:pPr>
          </w:p>
        </w:tc>
        <w:tc>
          <w:tcPr>
            <w:tcW w:w="1417"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污泥</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230"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875" w:type="dxa"/>
            <w:vAlign w:val="center"/>
          </w:tcPr>
          <w:p>
            <w:pPr>
              <w:pStyle w:val="44"/>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 xml:space="preserve"> 0.378t/a</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宋体" w:hAnsi="宋体" w:eastAsia="宋体" w:cs="宋体"/>
                <w:snapToGrid w:val="0"/>
                <w:color w:val="auto"/>
                <w:kern w:val="21"/>
                <w:sz w:val="24"/>
                <w:szCs w:val="24"/>
                <w:lang w:val="en-US" w:eastAsia="zh-CN"/>
              </w:rPr>
            </w:pPr>
            <w:r>
              <w:rPr>
                <w:rFonts w:hint="eastAsia" w:ascii="宋体" w:hAnsi="宋体" w:eastAsia="宋体" w:cs="宋体"/>
                <w:snapToGrid w:val="0"/>
                <w:color w:val="auto"/>
                <w:kern w:val="21"/>
                <w:sz w:val="24"/>
                <w:szCs w:val="24"/>
                <w:lang w:val="en-US" w:eastAsia="zh-CN"/>
              </w:rPr>
              <w:t>/</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auto"/>
                <w:kern w:val="21"/>
                <w:sz w:val="24"/>
                <w:szCs w:val="24"/>
              </w:rPr>
            </w:pPr>
            <w:r>
              <w:rPr>
                <w:rFonts w:hint="eastAsia" w:ascii="宋体" w:hAnsi="宋体" w:eastAsia="宋体" w:cs="宋体"/>
                <w:snapToGrid w:val="0"/>
                <w:color w:val="auto"/>
                <w:kern w:val="21"/>
                <w:sz w:val="24"/>
                <w:szCs w:val="24"/>
                <w:lang w:val="en-US" w:eastAsia="zh-CN"/>
              </w:rPr>
              <w:t>0.378t/a</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auto"/>
                <w:kern w:val="21"/>
                <w:sz w:val="24"/>
                <w:szCs w:val="24"/>
              </w:rPr>
            </w:pPr>
            <w:r>
              <w:rPr>
                <w:rFonts w:hint="eastAsia" w:ascii="宋体" w:hAnsi="宋体" w:eastAsia="宋体" w:cs="宋体"/>
                <w:snapToGrid w:val="0"/>
                <w:color w:val="auto"/>
                <w:kern w:val="21"/>
                <w:sz w:val="24"/>
                <w:szCs w:val="24"/>
                <w:lang w:val="en-US" w:eastAsia="zh-CN"/>
              </w:rPr>
              <w:t>/</w:t>
            </w:r>
          </w:p>
        </w:tc>
      </w:tr>
    </w:tbl>
    <w:p>
      <w:pPr>
        <w:pStyle w:val="44"/>
        <w:spacing w:before="192" w:beforeLines="80" w:after="24"/>
        <w:ind w:firstLine="560"/>
        <w:jc w:val="left"/>
        <w:outlineLvl w:val="9"/>
        <w:rPr>
          <w:rFonts w:hint="eastAsia" w:ascii="宋体" w:hAnsi="宋体" w:eastAsia="宋体" w:cs="宋体"/>
          <w:snapToGrid w:val="0"/>
          <w:color w:val="auto"/>
          <w:spacing w:val="-6"/>
          <w:kern w:val="21"/>
          <w:sz w:val="24"/>
          <w:szCs w:val="24"/>
        </w:rPr>
      </w:pPr>
      <w:r>
        <w:rPr>
          <w:rFonts w:hint="eastAsia" w:ascii="宋体" w:hAnsi="宋体" w:eastAsia="宋体" w:cs="宋体"/>
          <w:snapToGrid w:val="0"/>
          <w:color w:val="auto"/>
          <w:kern w:val="21"/>
          <w:sz w:val="24"/>
          <w:szCs w:val="24"/>
        </w:rPr>
        <w:t>注：</w:t>
      </w:r>
      <w:r>
        <w:rPr>
          <w:rFonts w:hint="eastAsia" w:ascii="宋体" w:hAnsi="宋体" w:eastAsia="宋体" w:cs="宋体"/>
          <w:snapToGrid w:val="0"/>
          <w:color w:val="auto"/>
          <w:spacing w:val="-16"/>
          <w:kern w:val="21"/>
          <w:sz w:val="24"/>
          <w:szCs w:val="24"/>
        </w:rPr>
        <w:fldChar w:fldCharType="begin"/>
      </w:r>
      <w:r>
        <w:rPr>
          <w:rFonts w:hint="eastAsia" w:ascii="宋体" w:hAnsi="宋体" w:eastAsia="宋体" w:cs="宋体"/>
          <w:snapToGrid w:val="0"/>
          <w:color w:val="auto"/>
          <w:spacing w:val="-16"/>
          <w:kern w:val="21"/>
          <w:sz w:val="24"/>
          <w:szCs w:val="24"/>
        </w:rPr>
        <w:instrText xml:space="preserve"> = 6 \* GB3 \* MERGEFORMAT </w:instrText>
      </w:r>
      <w:r>
        <w:rPr>
          <w:rFonts w:hint="eastAsia" w:ascii="宋体" w:hAnsi="宋体" w:eastAsia="宋体" w:cs="宋体"/>
          <w:snapToGrid w:val="0"/>
          <w:color w:val="auto"/>
          <w:spacing w:val="-16"/>
          <w:kern w:val="21"/>
          <w:sz w:val="24"/>
          <w:szCs w:val="24"/>
        </w:rPr>
        <w:fldChar w:fldCharType="separate"/>
      </w:r>
      <w:r>
        <w:rPr>
          <w:rFonts w:hint="eastAsia" w:ascii="宋体" w:hAnsi="宋体" w:eastAsia="宋体" w:cs="宋体"/>
          <w:color w:val="auto"/>
          <w:sz w:val="24"/>
          <w:szCs w:val="24"/>
        </w:rPr>
        <w:t>⑥</w:t>
      </w:r>
      <w:r>
        <w:rPr>
          <w:rFonts w:hint="eastAsia" w:ascii="宋体" w:hAnsi="宋体" w:eastAsia="宋体" w:cs="宋体"/>
          <w:snapToGrid w:val="0"/>
          <w:color w:val="auto"/>
          <w:spacing w:val="-16"/>
          <w:kern w:val="21"/>
          <w:sz w:val="24"/>
          <w:szCs w:val="24"/>
        </w:rPr>
        <w:fldChar w:fldCharType="end"/>
      </w:r>
      <w:r>
        <w:rPr>
          <w:rFonts w:hint="eastAsia" w:ascii="宋体" w:hAnsi="宋体" w:eastAsia="宋体" w:cs="宋体"/>
          <w:snapToGrid w:val="0"/>
          <w:color w:val="auto"/>
          <w:spacing w:val="-16"/>
          <w:kern w:val="21"/>
          <w:sz w:val="24"/>
          <w:szCs w:val="24"/>
        </w:rPr>
        <w:t>=</w:t>
      </w:r>
      <w:r>
        <w:rPr>
          <w:rFonts w:hint="eastAsia" w:ascii="宋体" w:hAnsi="宋体" w:eastAsia="宋体" w:cs="宋体"/>
          <w:snapToGrid w:val="0"/>
          <w:color w:val="auto"/>
          <w:spacing w:val="-6"/>
          <w:kern w:val="21"/>
          <w:sz w:val="24"/>
          <w:szCs w:val="24"/>
        </w:rPr>
        <w:fldChar w:fldCharType="begin"/>
      </w:r>
      <w:r>
        <w:rPr>
          <w:rFonts w:hint="eastAsia" w:ascii="宋体" w:hAnsi="宋体" w:eastAsia="宋体" w:cs="宋体"/>
          <w:snapToGrid w:val="0"/>
          <w:color w:val="auto"/>
          <w:spacing w:val="-6"/>
          <w:kern w:val="21"/>
          <w:sz w:val="24"/>
          <w:szCs w:val="24"/>
        </w:rPr>
        <w:instrText xml:space="preserve"> = 1 \* GB3 \* MERGEFORMAT </w:instrText>
      </w:r>
      <w:r>
        <w:rPr>
          <w:rFonts w:hint="eastAsia" w:ascii="宋体" w:hAnsi="宋体" w:eastAsia="宋体" w:cs="宋体"/>
          <w:snapToGrid w:val="0"/>
          <w:color w:val="auto"/>
          <w:spacing w:val="-6"/>
          <w:kern w:val="21"/>
          <w:sz w:val="24"/>
          <w:szCs w:val="24"/>
        </w:rPr>
        <w:fldChar w:fldCharType="separate"/>
      </w:r>
      <w:r>
        <w:rPr>
          <w:rFonts w:hint="eastAsia" w:ascii="宋体" w:hAnsi="宋体" w:eastAsia="宋体" w:cs="宋体"/>
          <w:color w:val="auto"/>
          <w:sz w:val="24"/>
          <w:szCs w:val="24"/>
        </w:rPr>
        <w:t>①</w:t>
      </w:r>
      <w:r>
        <w:rPr>
          <w:rFonts w:hint="eastAsia" w:ascii="宋体" w:hAnsi="宋体" w:eastAsia="宋体" w:cs="宋体"/>
          <w:snapToGrid w:val="0"/>
          <w:color w:val="auto"/>
          <w:spacing w:val="-6"/>
          <w:kern w:val="21"/>
          <w:sz w:val="24"/>
          <w:szCs w:val="24"/>
        </w:rPr>
        <w:fldChar w:fldCharType="end"/>
      </w:r>
      <w:r>
        <w:rPr>
          <w:rFonts w:hint="eastAsia" w:ascii="宋体" w:hAnsi="宋体" w:eastAsia="宋体" w:cs="宋体"/>
          <w:snapToGrid w:val="0"/>
          <w:color w:val="auto"/>
          <w:spacing w:val="-6"/>
          <w:kern w:val="21"/>
          <w:sz w:val="24"/>
          <w:szCs w:val="24"/>
        </w:rPr>
        <w:t>+</w:t>
      </w:r>
      <w:r>
        <w:rPr>
          <w:rFonts w:hint="eastAsia" w:ascii="宋体" w:hAnsi="宋体" w:eastAsia="宋体" w:cs="宋体"/>
          <w:snapToGrid w:val="0"/>
          <w:color w:val="auto"/>
          <w:spacing w:val="-6"/>
          <w:kern w:val="21"/>
          <w:sz w:val="24"/>
          <w:szCs w:val="24"/>
        </w:rPr>
        <w:fldChar w:fldCharType="begin"/>
      </w:r>
      <w:r>
        <w:rPr>
          <w:rFonts w:hint="eastAsia" w:ascii="宋体" w:hAnsi="宋体" w:eastAsia="宋体" w:cs="宋体"/>
          <w:snapToGrid w:val="0"/>
          <w:color w:val="auto"/>
          <w:spacing w:val="-6"/>
          <w:kern w:val="21"/>
          <w:sz w:val="24"/>
          <w:szCs w:val="24"/>
        </w:rPr>
        <w:instrText xml:space="preserve"> = 3 \* GB3 \* MERGEFORMAT </w:instrText>
      </w:r>
      <w:r>
        <w:rPr>
          <w:rFonts w:hint="eastAsia" w:ascii="宋体" w:hAnsi="宋体" w:eastAsia="宋体" w:cs="宋体"/>
          <w:snapToGrid w:val="0"/>
          <w:color w:val="auto"/>
          <w:spacing w:val="-6"/>
          <w:kern w:val="21"/>
          <w:sz w:val="24"/>
          <w:szCs w:val="24"/>
        </w:rPr>
        <w:fldChar w:fldCharType="separate"/>
      </w:r>
      <w:r>
        <w:rPr>
          <w:rFonts w:hint="eastAsia" w:ascii="宋体" w:hAnsi="宋体" w:eastAsia="宋体" w:cs="宋体"/>
          <w:color w:val="auto"/>
          <w:sz w:val="24"/>
          <w:szCs w:val="24"/>
        </w:rPr>
        <w:t>③</w:t>
      </w:r>
      <w:r>
        <w:rPr>
          <w:rFonts w:hint="eastAsia" w:ascii="宋体" w:hAnsi="宋体" w:eastAsia="宋体" w:cs="宋体"/>
          <w:snapToGrid w:val="0"/>
          <w:color w:val="auto"/>
          <w:spacing w:val="-6"/>
          <w:kern w:val="21"/>
          <w:sz w:val="24"/>
          <w:szCs w:val="24"/>
        </w:rPr>
        <w:fldChar w:fldCharType="end"/>
      </w:r>
      <w:r>
        <w:rPr>
          <w:rFonts w:hint="eastAsia" w:ascii="宋体" w:hAnsi="宋体" w:eastAsia="宋体" w:cs="宋体"/>
          <w:snapToGrid w:val="0"/>
          <w:color w:val="auto"/>
          <w:spacing w:val="-6"/>
          <w:kern w:val="21"/>
          <w:sz w:val="24"/>
          <w:szCs w:val="24"/>
        </w:rPr>
        <w:t>+</w:t>
      </w:r>
      <w:r>
        <w:rPr>
          <w:rFonts w:hint="eastAsia" w:ascii="宋体" w:hAnsi="宋体" w:eastAsia="宋体" w:cs="宋体"/>
          <w:snapToGrid w:val="0"/>
          <w:color w:val="auto"/>
          <w:spacing w:val="-6"/>
          <w:kern w:val="21"/>
          <w:sz w:val="24"/>
          <w:szCs w:val="24"/>
        </w:rPr>
        <w:fldChar w:fldCharType="begin"/>
      </w:r>
      <w:r>
        <w:rPr>
          <w:rFonts w:hint="eastAsia" w:ascii="宋体" w:hAnsi="宋体" w:eastAsia="宋体" w:cs="宋体"/>
          <w:snapToGrid w:val="0"/>
          <w:color w:val="auto"/>
          <w:spacing w:val="-6"/>
          <w:kern w:val="21"/>
          <w:sz w:val="24"/>
          <w:szCs w:val="24"/>
        </w:rPr>
        <w:instrText xml:space="preserve"> = 4 \* GB3 \* MERGEFORMAT </w:instrText>
      </w:r>
      <w:r>
        <w:rPr>
          <w:rFonts w:hint="eastAsia" w:ascii="宋体" w:hAnsi="宋体" w:eastAsia="宋体" w:cs="宋体"/>
          <w:snapToGrid w:val="0"/>
          <w:color w:val="auto"/>
          <w:spacing w:val="-6"/>
          <w:kern w:val="21"/>
          <w:sz w:val="24"/>
          <w:szCs w:val="24"/>
        </w:rPr>
        <w:fldChar w:fldCharType="separate"/>
      </w:r>
      <w:r>
        <w:rPr>
          <w:rFonts w:hint="eastAsia" w:ascii="宋体" w:hAnsi="宋体" w:eastAsia="宋体" w:cs="宋体"/>
          <w:color w:val="auto"/>
          <w:sz w:val="24"/>
          <w:szCs w:val="24"/>
        </w:rPr>
        <w:t>④</w:t>
      </w:r>
      <w:r>
        <w:rPr>
          <w:rFonts w:hint="eastAsia" w:ascii="宋体" w:hAnsi="宋体" w:eastAsia="宋体" w:cs="宋体"/>
          <w:snapToGrid w:val="0"/>
          <w:color w:val="auto"/>
          <w:spacing w:val="-6"/>
          <w:kern w:val="21"/>
          <w:sz w:val="24"/>
          <w:szCs w:val="24"/>
        </w:rPr>
        <w:fldChar w:fldCharType="end"/>
      </w:r>
      <w:r>
        <w:rPr>
          <w:rFonts w:hint="eastAsia" w:ascii="宋体" w:hAnsi="宋体" w:eastAsia="宋体" w:cs="宋体"/>
          <w:snapToGrid w:val="0"/>
          <w:color w:val="auto"/>
          <w:spacing w:val="-6"/>
          <w:kern w:val="21"/>
          <w:sz w:val="24"/>
          <w:szCs w:val="24"/>
        </w:rPr>
        <w:t>-</w:t>
      </w:r>
      <w:r>
        <w:rPr>
          <w:rFonts w:hint="eastAsia" w:ascii="宋体" w:hAnsi="宋体" w:eastAsia="宋体" w:cs="宋体"/>
          <w:snapToGrid w:val="0"/>
          <w:color w:val="auto"/>
          <w:spacing w:val="-16"/>
          <w:kern w:val="21"/>
          <w:sz w:val="24"/>
          <w:szCs w:val="24"/>
        </w:rPr>
        <w:fldChar w:fldCharType="begin"/>
      </w:r>
      <w:r>
        <w:rPr>
          <w:rFonts w:hint="eastAsia" w:ascii="宋体" w:hAnsi="宋体" w:eastAsia="宋体" w:cs="宋体"/>
          <w:snapToGrid w:val="0"/>
          <w:color w:val="auto"/>
          <w:spacing w:val="-16"/>
          <w:kern w:val="21"/>
          <w:sz w:val="24"/>
          <w:szCs w:val="24"/>
        </w:rPr>
        <w:instrText xml:space="preserve"> = 5 \* GB3 \* MERGEFORMAT </w:instrText>
      </w:r>
      <w:r>
        <w:rPr>
          <w:rFonts w:hint="eastAsia" w:ascii="宋体" w:hAnsi="宋体" w:eastAsia="宋体" w:cs="宋体"/>
          <w:snapToGrid w:val="0"/>
          <w:color w:val="auto"/>
          <w:spacing w:val="-16"/>
          <w:kern w:val="21"/>
          <w:sz w:val="24"/>
          <w:szCs w:val="24"/>
        </w:rPr>
        <w:fldChar w:fldCharType="separate"/>
      </w:r>
      <w:r>
        <w:rPr>
          <w:rFonts w:hint="eastAsia" w:ascii="宋体" w:hAnsi="宋体" w:eastAsia="宋体" w:cs="宋体"/>
          <w:color w:val="auto"/>
          <w:sz w:val="24"/>
          <w:szCs w:val="24"/>
        </w:rPr>
        <w:t>⑤</w:t>
      </w:r>
      <w:r>
        <w:rPr>
          <w:rFonts w:hint="eastAsia" w:ascii="宋体" w:hAnsi="宋体" w:eastAsia="宋体" w:cs="宋体"/>
          <w:snapToGrid w:val="0"/>
          <w:color w:val="auto"/>
          <w:spacing w:val="-16"/>
          <w:kern w:val="21"/>
          <w:sz w:val="24"/>
          <w:szCs w:val="24"/>
        </w:rPr>
        <w:fldChar w:fldCharType="end"/>
      </w:r>
      <w:r>
        <w:rPr>
          <w:rFonts w:hint="eastAsia" w:ascii="宋体" w:hAnsi="宋体" w:eastAsia="宋体" w:cs="宋体"/>
          <w:snapToGrid w:val="0"/>
          <w:color w:val="auto"/>
          <w:spacing w:val="-16"/>
          <w:kern w:val="21"/>
          <w:sz w:val="24"/>
          <w:szCs w:val="24"/>
        </w:rPr>
        <w:t>；</w:t>
      </w:r>
      <w:r>
        <w:rPr>
          <w:rFonts w:hint="eastAsia" w:ascii="宋体" w:hAnsi="宋体" w:eastAsia="宋体" w:cs="宋体"/>
          <w:snapToGrid w:val="0"/>
          <w:color w:val="auto"/>
          <w:spacing w:val="-6"/>
          <w:kern w:val="21"/>
          <w:sz w:val="24"/>
          <w:szCs w:val="24"/>
        </w:rPr>
        <w:fldChar w:fldCharType="begin"/>
      </w:r>
      <w:r>
        <w:rPr>
          <w:rFonts w:hint="eastAsia" w:ascii="宋体" w:hAnsi="宋体" w:eastAsia="宋体" w:cs="宋体"/>
          <w:snapToGrid w:val="0"/>
          <w:color w:val="auto"/>
          <w:spacing w:val="-6"/>
          <w:kern w:val="21"/>
          <w:sz w:val="24"/>
          <w:szCs w:val="24"/>
        </w:rPr>
        <w:instrText xml:space="preserve"> = 7 \* GB3 \* MERGEFORMAT </w:instrText>
      </w:r>
      <w:r>
        <w:rPr>
          <w:rFonts w:hint="eastAsia" w:ascii="宋体" w:hAnsi="宋体" w:eastAsia="宋体" w:cs="宋体"/>
          <w:snapToGrid w:val="0"/>
          <w:color w:val="auto"/>
          <w:spacing w:val="-6"/>
          <w:kern w:val="21"/>
          <w:sz w:val="24"/>
          <w:szCs w:val="24"/>
        </w:rPr>
        <w:fldChar w:fldCharType="separate"/>
      </w:r>
      <w:r>
        <w:rPr>
          <w:rFonts w:hint="eastAsia" w:ascii="宋体" w:hAnsi="宋体" w:eastAsia="宋体" w:cs="宋体"/>
          <w:color w:val="auto"/>
          <w:sz w:val="24"/>
          <w:szCs w:val="24"/>
        </w:rPr>
        <w:t>⑦</w:t>
      </w:r>
      <w:r>
        <w:rPr>
          <w:rFonts w:hint="eastAsia" w:ascii="宋体" w:hAnsi="宋体" w:eastAsia="宋体" w:cs="宋体"/>
          <w:snapToGrid w:val="0"/>
          <w:color w:val="auto"/>
          <w:spacing w:val="-6"/>
          <w:kern w:val="21"/>
          <w:sz w:val="24"/>
          <w:szCs w:val="24"/>
        </w:rPr>
        <w:fldChar w:fldCharType="end"/>
      </w:r>
      <w:r>
        <w:rPr>
          <w:rFonts w:hint="eastAsia" w:ascii="宋体" w:hAnsi="宋体" w:eastAsia="宋体" w:cs="宋体"/>
          <w:snapToGrid w:val="0"/>
          <w:color w:val="auto"/>
          <w:spacing w:val="-6"/>
          <w:kern w:val="21"/>
          <w:sz w:val="24"/>
          <w:szCs w:val="24"/>
        </w:rPr>
        <w:t>=</w:t>
      </w:r>
      <w:r>
        <w:rPr>
          <w:rFonts w:hint="eastAsia" w:ascii="宋体" w:hAnsi="宋体" w:eastAsia="宋体" w:cs="宋体"/>
          <w:snapToGrid w:val="0"/>
          <w:color w:val="auto"/>
          <w:spacing w:val="-16"/>
          <w:kern w:val="21"/>
          <w:sz w:val="24"/>
          <w:szCs w:val="24"/>
        </w:rPr>
        <w:fldChar w:fldCharType="begin"/>
      </w:r>
      <w:r>
        <w:rPr>
          <w:rFonts w:hint="eastAsia" w:ascii="宋体" w:hAnsi="宋体" w:eastAsia="宋体" w:cs="宋体"/>
          <w:snapToGrid w:val="0"/>
          <w:color w:val="auto"/>
          <w:spacing w:val="-16"/>
          <w:kern w:val="21"/>
          <w:sz w:val="24"/>
          <w:szCs w:val="24"/>
        </w:rPr>
        <w:instrText xml:space="preserve"> = 6 \* GB3 \* MERGEFORMAT </w:instrText>
      </w:r>
      <w:r>
        <w:rPr>
          <w:rFonts w:hint="eastAsia" w:ascii="宋体" w:hAnsi="宋体" w:eastAsia="宋体" w:cs="宋体"/>
          <w:snapToGrid w:val="0"/>
          <w:color w:val="auto"/>
          <w:spacing w:val="-16"/>
          <w:kern w:val="21"/>
          <w:sz w:val="24"/>
          <w:szCs w:val="24"/>
        </w:rPr>
        <w:fldChar w:fldCharType="separate"/>
      </w:r>
      <w:r>
        <w:rPr>
          <w:rFonts w:hint="eastAsia" w:ascii="宋体" w:hAnsi="宋体" w:eastAsia="宋体" w:cs="宋体"/>
          <w:color w:val="auto"/>
          <w:sz w:val="24"/>
          <w:szCs w:val="24"/>
        </w:rPr>
        <w:t>⑥</w:t>
      </w:r>
      <w:r>
        <w:rPr>
          <w:rFonts w:hint="eastAsia" w:ascii="宋体" w:hAnsi="宋体" w:eastAsia="宋体" w:cs="宋体"/>
          <w:snapToGrid w:val="0"/>
          <w:color w:val="auto"/>
          <w:spacing w:val="-16"/>
          <w:kern w:val="21"/>
          <w:sz w:val="24"/>
          <w:szCs w:val="24"/>
        </w:rPr>
        <w:fldChar w:fldCharType="end"/>
      </w:r>
      <w:r>
        <w:rPr>
          <w:rFonts w:hint="eastAsia" w:ascii="宋体" w:hAnsi="宋体" w:eastAsia="宋体" w:cs="宋体"/>
          <w:snapToGrid w:val="0"/>
          <w:color w:val="auto"/>
          <w:spacing w:val="-16"/>
          <w:kern w:val="21"/>
          <w:sz w:val="24"/>
          <w:szCs w:val="24"/>
        </w:rPr>
        <w:t>-</w:t>
      </w:r>
      <w:r>
        <w:rPr>
          <w:rFonts w:hint="eastAsia" w:ascii="宋体" w:hAnsi="宋体" w:eastAsia="宋体" w:cs="宋体"/>
          <w:snapToGrid w:val="0"/>
          <w:color w:val="auto"/>
          <w:spacing w:val="-6"/>
          <w:kern w:val="21"/>
          <w:sz w:val="24"/>
          <w:szCs w:val="24"/>
        </w:rPr>
        <w:fldChar w:fldCharType="begin"/>
      </w:r>
      <w:r>
        <w:rPr>
          <w:rFonts w:hint="eastAsia" w:ascii="宋体" w:hAnsi="宋体" w:eastAsia="宋体" w:cs="宋体"/>
          <w:snapToGrid w:val="0"/>
          <w:color w:val="auto"/>
          <w:spacing w:val="-6"/>
          <w:kern w:val="21"/>
          <w:sz w:val="24"/>
          <w:szCs w:val="24"/>
        </w:rPr>
        <w:instrText xml:space="preserve"> = 1 \* GB3 \* MERGEFORMAT </w:instrText>
      </w:r>
      <w:r>
        <w:rPr>
          <w:rFonts w:hint="eastAsia" w:ascii="宋体" w:hAnsi="宋体" w:eastAsia="宋体" w:cs="宋体"/>
          <w:snapToGrid w:val="0"/>
          <w:color w:val="auto"/>
          <w:spacing w:val="-6"/>
          <w:kern w:val="21"/>
          <w:sz w:val="24"/>
          <w:szCs w:val="24"/>
        </w:rPr>
        <w:fldChar w:fldCharType="separate"/>
      </w:r>
      <w:r>
        <w:rPr>
          <w:rFonts w:hint="eastAsia" w:ascii="宋体" w:hAnsi="宋体" w:eastAsia="宋体" w:cs="宋体"/>
          <w:color w:val="auto"/>
          <w:sz w:val="24"/>
          <w:szCs w:val="24"/>
        </w:rPr>
        <w:t>①</w:t>
      </w:r>
      <w:r>
        <w:rPr>
          <w:rFonts w:hint="eastAsia" w:ascii="宋体" w:hAnsi="宋体" w:eastAsia="宋体" w:cs="宋体"/>
          <w:snapToGrid w:val="0"/>
          <w:color w:val="auto"/>
          <w:spacing w:val="-6"/>
          <w:kern w:val="21"/>
          <w:sz w:val="24"/>
          <w:szCs w:val="24"/>
        </w:rPr>
        <w:fldChar w:fldCharType="end"/>
      </w:r>
      <w:bookmarkEnd w:id="66"/>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sectPr>
      <w:footerReference r:id="rId7" w:type="default"/>
      <w:pgSz w:w="16838" w:h="11906" w:orient="landscape"/>
      <w:pgMar w:top="1531" w:right="1701" w:bottom="1531" w:left="1701"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華康中楷體">
    <w:altName w:val="Microsoft JhengHei"/>
    <w:panose1 w:val="00000000000000000000"/>
    <w:charset w:val="88"/>
    <w:family w:val="roman"/>
    <w:pitch w:val="default"/>
    <w:sig w:usb0="00000000" w:usb1="00000000" w:usb2="00000010" w:usb3="00000000" w:csb0="00100000" w:csb1="00000000"/>
  </w:font>
  <w:font w:name="??">
    <w:altName w:val="Times New Roman"/>
    <w:panose1 w:val="00000000000000000000"/>
    <w:charset w:val="00"/>
    <w:family w:val="roman"/>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4"/>
      </w:rPr>
    </w:pPr>
    <w:r>
      <w:fldChar w:fldCharType="begin"/>
    </w:r>
    <w:r>
      <w:rPr>
        <w:rStyle w:val="24"/>
      </w:rPr>
      <w:instrText xml:space="preserve">PAGE  </w:instrText>
    </w:r>
    <w: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Style w:val="24"/>
                              <w:rFonts w:ascii="宋体" w:hAnsi="宋体"/>
                              <w:sz w:val="28"/>
                              <w:szCs w:val="28"/>
                            </w:rPr>
                          </w:pPr>
                          <w:r>
                            <w:rPr>
                              <w:rStyle w:val="24"/>
                              <w:rFonts w:hint="eastAsia" w:ascii="宋体" w:hAnsi="宋体"/>
                              <w:sz w:val="28"/>
                              <w:szCs w:val="28"/>
                            </w:rPr>
                            <w:t>—</w:t>
                          </w:r>
                          <w:r>
                            <w:rPr>
                              <w:rStyle w:val="24"/>
                              <w:rFonts w:hint="eastAsia" w:ascii="宋体" w:hAnsi="宋体"/>
                              <w:sz w:val="20"/>
                            </w:rPr>
                            <w:t xml:space="preserve">  </w:t>
                          </w:r>
                          <w:r>
                            <w:rPr>
                              <w:rStyle w:val="24"/>
                              <w:rFonts w:ascii="宋体" w:hAnsi="宋体"/>
                              <w:sz w:val="26"/>
                              <w:szCs w:val="26"/>
                            </w:rPr>
                            <w:fldChar w:fldCharType="begin"/>
                          </w:r>
                          <w:r>
                            <w:rPr>
                              <w:rStyle w:val="24"/>
                              <w:rFonts w:ascii="宋体" w:hAnsi="宋体"/>
                              <w:sz w:val="26"/>
                              <w:szCs w:val="26"/>
                            </w:rPr>
                            <w:instrText xml:space="preserve">PAGE  </w:instrText>
                          </w:r>
                          <w:r>
                            <w:rPr>
                              <w:rStyle w:val="24"/>
                              <w:rFonts w:ascii="宋体" w:hAnsi="宋体"/>
                              <w:sz w:val="26"/>
                              <w:szCs w:val="26"/>
                            </w:rPr>
                            <w:fldChar w:fldCharType="separate"/>
                          </w:r>
                          <w:r>
                            <w:rPr>
                              <w:rStyle w:val="24"/>
                              <w:rFonts w:ascii="宋体" w:hAnsi="宋体"/>
                              <w:sz w:val="26"/>
                              <w:szCs w:val="26"/>
                            </w:rPr>
                            <w:t>9</w:t>
                          </w:r>
                          <w:r>
                            <w:rPr>
                              <w:rStyle w:val="24"/>
                              <w:rFonts w:ascii="宋体" w:hAnsi="宋体"/>
                              <w:sz w:val="26"/>
                              <w:szCs w:val="26"/>
                            </w:rPr>
                            <w:fldChar w:fldCharType="end"/>
                          </w:r>
                          <w:r>
                            <w:rPr>
                              <w:rStyle w:val="24"/>
                              <w:rFonts w:hint="eastAsia" w:ascii="宋体" w:hAnsi="宋体"/>
                              <w:sz w:val="20"/>
                            </w:rPr>
                            <w:t xml:space="preserve">  </w:t>
                          </w:r>
                          <w:r>
                            <w:rPr>
                              <w:rStyle w:val="24"/>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7"/>
                      <w:rPr>
                        <w:rStyle w:val="24"/>
                        <w:rFonts w:ascii="宋体" w:hAnsi="宋体"/>
                        <w:sz w:val="28"/>
                        <w:szCs w:val="28"/>
                      </w:rPr>
                    </w:pPr>
                    <w:r>
                      <w:rPr>
                        <w:rStyle w:val="24"/>
                        <w:rFonts w:hint="eastAsia" w:ascii="宋体" w:hAnsi="宋体"/>
                        <w:sz w:val="28"/>
                        <w:szCs w:val="28"/>
                      </w:rPr>
                      <w:t>—</w:t>
                    </w:r>
                    <w:r>
                      <w:rPr>
                        <w:rStyle w:val="24"/>
                        <w:rFonts w:hint="eastAsia" w:ascii="宋体" w:hAnsi="宋体"/>
                        <w:sz w:val="20"/>
                      </w:rPr>
                      <w:t xml:space="preserve">  </w:t>
                    </w:r>
                    <w:r>
                      <w:rPr>
                        <w:rStyle w:val="24"/>
                        <w:rFonts w:ascii="宋体" w:hAnsi="宋体"/>
                        <w:sz w:val="26"/>
                        <w:szCs w:val="26"/>
                      </w:rPr>
                      <w:fldChar w:fldCharType="begin"/>
                    </w:r>
                    <w:r>
                      <w:rPr>
                        <w:rStyle w:val="24"/>
                        <w:rFonts w:ascii="宋体" w:hAnsi="宋体"/>
                        <w:sz w:val="26"/>
                        <w:szCs w:val="26"/>
                      </w:rPr>
                      <w:instrText xml:space="preserve">PAGE  </w:instrText>
                    </w:r>
                    <w:r>
                      <w:rPr>
                        <w:rStyle w:val="24"/>
                        <w:rFonts w:ascii="宋体" w:hAnsi="宋体"/>
                        <w:sz w:val="26"/>
                        <w:szCs w:val="26"/>
                      </w:rPr>
                      <w:fldChar w:fldCharType="separate"/>
                    </w:r>
                    <w:r>
                      <w:rPr>
                        <w:rStyle w:val="24"/>
                        <w:rFonts w:ascii="宋体" w:hAnsi="宋体"/>
                        <w:sz w:val="26"/>
                        <w:szCs w:val="26"/>
                      </w:rPr>
                      <w:t>9</w:t>
                    </w:r>
                    <w:r>
                      <w:rPr>
                        <w:rStyle w:val="24"/>
                        <w:rFonts w:ascii="宋体" w:hAnsi="宋体"/>
                        <w:sz w:val="26"/>
                        <w:szCs w:val="26"/>
                      </w:rPr>
                      <w:fldChar w:fldCharType="end"/>
                    </w:r>
                    <w:r>
                      <w:rPr>
                        <w:rStyle w:val="24"/>
                        <w:rFonts w:hint="eastAsia" w:ascii="宋体" w:hAnsi="宋体"/>
                        <w:sz w:val="20"/>
                      </w:rPr>
                      <w:t xml:space="preserve">  </w:t>
                    </w:r>
                    <w:r>
                      <w:rPr>
                        <w:rStyle w:val="24"/>
                        <w:rFonts w:hint="eastAsia" w:ascii="宋体" w:hAns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Style w:val="24"/>
                              <w:rFonts w:ascii="宋体" w:hAnsi="宋体"/>
                              <w:sz w:val="28"/>
                              <w:szCs w:val="28"/>
                            </w:rPr>
                          </w:pPr>
                          <w:r>
                            <w:rPr>
                              <w:rStyle w:val="24"/>
                              <w:rFonts w:hint="eastAsia" w:ascii="宋体" w:hAnsi="宋体"/>
                              <w:sz w:val="28"/>
                              <w:szCs w:val="28"/>
                            </w:rPr>
                            <w:t>—</w:t>
                          </w:r>
                          <w:r>
                            <w:rPr>
                              <w:rStyle w:val="24"/>
                              <w:rFonts w:hint="eastAsia" w:ascii="宋体" w:hAnsi="宋体"/>
                              <w:sz w:val="20"/>
                            </w:rPr>
                            <w:t xml:space="preserve">  </w:t>
                          </w:r>
                          <w:r>
                            <w:rPr>
                              <w:rStyle w:val="24"/>
                              <w:rFonts w:ascii="宋体" w:hAnsi="宋体"/>
                              <w:sz w:val="26"/>
                              <w:szCs w:val="26"/>
                            </w:rPr>
                            <w:fldChar w:fldCharType="begin"/>
                          </w:r>
                          <w:r>
                            <w:rPr>
                              <w:rStyle w:val="24"/>
                              <w:rFonts w:ascii="宋体" w:hAnsi="宋体"/>
                              <w:sz w:val="26"/>
                              <w:szCs w:val="26"/>
                            </w:rPr>
                            <w:instrText xml:space="preserve">PAGE  </w:instrText>
                          </w:r>
                          <w:r>
                            <w:rPr>
                              <w:rStyle w:val="24"/>
                              <w:rFonts w:ascii="宋体" w:hAnsi="宋体"/>
                              <w:sz w:val="26"/>
                              <w:szCs w:val="26"/>
                            </w:rPr>
                            <w:fldChar w:fldCharType="separate"/>
                          </w:r>
                          <w:r>
                            <w:rPr>
                              <w:rStyle w:val="24"/>
                              <w:rFonts w:ascii="宋体" w:hAnsi="宋体"/>
                              <w:sz w:val="26"/>
                              <w:szCs w:val="26"/>
                            </w:rPr>
                            <w:t>11</w:t>
                          </w:r>
                          <w:r>
                            <w:rPr>
                              <w:rStyle w:val="24"/>
                              <w:rFonts w:ascii="宋体" w:hAnsi="宋体"/>
                              <w:sz w:val="26"/>
                              <w:szCs w:val="26"/>
                            </w:rPr>
                            <w:fldChar w:fldCharType="end"/>
                          </w:r>
                          <w:r>
                            <w:rPr>
                              <w:rStyle w:val="24"/>
                              <w:rFonts w:hint="eastAsia" w:ascii="宋体" w:hAnsi="宋体"/>
                              <w:sz w:val="20"/>
                            </w:rPr>
                            <w:t xml:space="preserve">  </w:t>
                          </w:r>
                          <w:r>
                            <w:rPr>
                              <w:rStyle w:val="24"/>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7"/>
                      <w:rPr>
                        <w:rStyle w:val="24"/>
                        <w:rFonts w:ascii="宋体" w:hAnsi="宋体"/>
                        <w:sz w:val="28"/>
                        <w:szCs w:val="28"/>
                      </w:rPr>
                    </w:pPr>
                    <w:r>
                      <w:rPr>
                        <w:rStyle w:val="24"/>
                        <w:rFonts w:hint="eastAsia" w:ascii="宋体" w:hAnsi="宋体"/>
                        <w:sz w:val="28"/>
                        <w:szCs w:val="28"/>
                      </w:rPr>
                      <w:t>—</w:t>
                    </w:r>
                    <w:r>
                      <w:rPr>
                        <w:rStyle w:val="24"/>
                        <w:rFonts w:hint="eastAsia" w:ascii="宋体" w:hAnsi="宋体"/>
                        <w:sz w:val="20"/>
                      </w:rPr>
                      <w:t xml:space="preserve">  </w:t>
                    </w:r>
                    <w:r>
                      <w:rPr>
                        <w:rStyle w:val="24"/>
                        <w:rFonts w:ascii="宋体" w:hAnsi="宋体"/>
                        <w:sz w:val="26"/>
                        <w:szCs w:val="26"/>
                      </w:rPr>
                      <w:fldChar w:fldCharType="begin"/>
                    </w:r>
                    <w:r>
                      <w:rPr>
                        <w:rStyle w:val="24"/>
                        <w:rFonts w:ascii="宋体" w:hAnsi="宋体"/>
                        <w:sz w:val="26"/>
                        <w:szCs w:val="26"/>
                      </w:rPr>
                      <w:instrText xml:space="preserve">PAGE  </w:instrText>
                    </w:r>
                    <w:r>
                      <w:rPr>
                        <w:rStyle w:val="24"/>
                        <w:rFonts w:ascii="宋体" w:hAnsi="宋体"/>
                        <w:sz w:val="26"/>
                        <w:szCs w:val="26"/>
                      </w:rPr>
                      <w:fldChar w:fldCharType="separate"/>
                    </w:r>
                    <w:r>
                      <w:rPr>
                        <w:rStyle w:val="24"/>
                        <w:rFonts w:ascii="宋体" w:hAnsi="宋体"/>
                        <w:sz w:val="26"/>
                        <w:szCs w:val="26"/>
                      </w:rPr>
                      <w:t>11</w:t>
                    </w:r>
                    <w:r>
                      <w:rPr>
                        <w:rStyle w:val="24"/>
                        <w:rFonts w:ascii="宋体" w:hAnsi="宋体"/>
                        <w:sz w:val="26"/>
                        <w:szCs w:val="26"/>
                      </w:rPr>
                      <w:fldChar w:fldCharType="end"/>
                    </w:r>
                    <w:r>
                      <w:rPr>
                        <w:rStyle w:val="24"/>
                        <w:rFonts w:hint="eastAsia" w:ascii="宋体" w:hAnsi="宋体"/>
                        <w:sz w:val="20"/>
                      </w:rPr>
                      <w:t xml:space="preserve">  </w:t>
                    </w:r>
                    <w:r>
                      <w:rPr>
                        <w:rStyle w:val="24"/>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30329"/>
    <w:multiLevelType w:val="singleLevel"/>
    <w:tmpl w:val="A1C30329"/>
    <w:lvl w:ilvl="0" w:tentative="0">
      <w:start w:val="7"/>
      <w:numFmt w:val="decimal"/>
      <w:suff w:val="nothing"/>
      <w:lvlText w:val="（%1）"/>
      <w:lvlJc w:val="left"/>
      <w:rPr>
        <w:rFonts w:hint="default"/>
        <w:sz w:val="24"/>
        <w:szCs w:val="24"/>
      </w:rPr>
    </w:lvl>
  </w:abstractNum>
  <w:abstractNum w:abstractNumId="1">
    <w:nsid w:val="A9F75100"/>
    <w:multiLevelType w:val="singleLevel"/>
    <w:tmpl w:val="A9F75100"/>
    <w:lvl w:ilvl="0" w:tentative="0">
      <w:start w:val="1"/>
      <w:numFmt w:val="decimal"/>
      <w:lvlText w:val="%1."/>
      <w:lvlJc w:val="left"/>
      <w:pPr>
        <w:ind w:left="425" w:hanging="425"/>
      </w:pPr>
      <w:rPr>
        <w:rFonts w:hint="default"/>
      </w:rPr>
    </w:lvl>
  </w:abstractNum>
  <w:abstractNum w:abstractNumId="2">
    <w:nsid w:val="B2ACACB8"/>
    <w:multiLevelType w:val="singleLevel"/>
    <w:tmpl w:val="B2ACACB8"/>
    <w:lvl w:ilvl="0" w:tentative="0">
      <w:start w:val="1"/>
      <w:numFmt w:val="decimal"/>
      <w:lvlText w:val="%1."/>
      <w:lvlJc w:val="left"/>
      <w:pPr>
        <w:ind w:left="425" w:hanging="425"/>
      </w:pPr>
      <w:rPr>
        <w:rFonts w:hint="default"/>
      </w:rPr>
    </w:lvl>
  </w:abstractNum>
  <w:abstractNum w:abstractNumId="3">
    <w:nsid w:val="E94A5628"/>
    <w:multiLevelType w:val="singleLevel"/>
    <w:tmpl w:val="E94A5628"/>
    <w:lvl w:ilvl="0" w:tentative="0">
      <w:start w:val="7"/>
      <w:numFmt w:val="decimal"/>
      <w:suff w:val="nothing"/>
      <w:lvlText w:val="（%1）"/>
      <w:lvlJc w:val="left"/>
      <w:rPr>
        <w:rFonts w:hint="default"/>
        <w:sz w:val="24"/>
        <w:szCs w:val="24"/>
      </w:rPr>
    </w:lvl>
  </w:abstractNum>
  <w:abstractNum w:abstractNumId="4">
    <w:nsid w:val="F50715E6"/>
    <w:multiLevelType w:val="singleLevel"/>
    <w:tmpl w:val="F50715E6"/>
    <w:lvl w:ilvl="0" w:tentative="0">
      <w:start w:val="1"/>
      <w:numFmt w:val="decimal"/>
      <w:suff w:val="space"/>
      <w:lvlText w:val="%1."/>
      <w:lvlJc w:val="left"/>
    </w:lvl>
  </w:abstractNum>
  <w:abstractNum w:abstractNumId="5">
    <w:nsid w:val="1482775B"/>
    <w:multiLevelType w:val="multilevel"/>
    <w:tmpl w:val="1482775B"/>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6">
    <w:nsid w:val="38323152"/>
    <w:multiLevelType w:val="singleLevel"/>
    <w:tmpl w:val="38323152"/>
    <w:lvl w:ilvl="0" w:tentative="0">
      <w:start w:val="1"/>
      <w:numFmt w:val="decimal"/>
      <w:suff w:val="space"/>
      <w:lvlText w:val="%1."/>
      <w:lvlJc w:val="left"/>
    </w:lvl>
  </w:abstractNum>
  <w:abstractNum w:abstractNumId="7">
    <w:nsid w:val="4C9E91D5"/>
    <w:multiLevelType w:val="singleLevel"/>
    <w:tmpl w:val="4C9E91D5"/>
    <w:lvl w:ilvl="0" w:tentative="0">
      <w:start w:val="1"/>
      <w:numFmt w:val="decimal"/>
      <w:suff w:val="nothing"/>
      <w:lvlText w:val="%1．"/>
      <w:lvlJc w:val="left"/>
    </w:lvl>
  </w:abstractNum>
  <w:abstractNum w:abstractNumId="8">
    <w:nsid w:val="5352B470"/>
    <w:multiLevelType w:val="singleLevel"/>
    <w:tmpl w:val="5352B470"/>
    <w:lvl w:ilvl="0" w:tentative="0">
      <w:start w:val="1"/>
      <w:numFmt w:val="decimal"/>
      <w:suff w:val="space"/>
      <w:lvlText w:val="%1."/>
      <w:lvlJc w:val="left"/>
    </w:lvl>
  </w:abstractNum>
  <w:abstractNum w:abstractNumId="9">
    <w:nsid w:val="594CD03F"/>
    <w:multiLevelType w:val="singleLevel"/>
    <w:tmpl w:val="594CD03F"/>
    <w:lvl w:ilvl="0" w:tentative="0">
      <w:start w:val="1"/>
      <w:numFmt w:val="decimal"/>
      <w:suff w:val="nothing"/>
      <w:lvlText w:val="（%1）"/>
      <w:lvlJc w:val="left"/>
    </w:lvl>
  </w:abstractNum>
  <w:abstractNum w:abstractNumId="10">
    <w:nsid w:val="5F85C8A0"/>
    <w:multiLevelType w:val="singleLevel"/>
    <w:tmpl w:val="5F85C8A0"/>
    <w:lvl w:ilvl="0" w:tentative="0">
      <w:start w:val="1"/>
      <w:numFmt w:val="decimal"/>
      <w:suff w:val="nothing"/>
      <w:lvlText w:val="%1、"/>
      <w:lvlJc w:val="left"/>
      <w:rPr>
        <w:rFonts w:hint="default" w:ascii="宋体" w:hAnsi="宋体" w:eastAsia="宋体" w:cs="宋体"/>
        <w:sz w:val="24"/>
        <w:szCs w:val="24"/>
      </w:rPr>
    </w:lvl>
  </w:abstractNum>
  <w:abstractNum w:abstractNumId="1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宋体" w:hAnsi="宋体" w:eastAsia="宋体"/>
        <w:b w:val="0"/>
        <w:i w:val="0"/>
        <w:sz w:val="21"/>
      </w:rPr>
    </w:lvl>
    <w:lvl w:ilvl="4" w:tentative="0">
      <w:start w:val="1"/>
      <w:numFmt w:val="decimal"/>
      <w:pStyle w:val="37"/>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11"/>
  </w:num>
  <w:num w:numId="3">
    <w:abstractNumId w:val="1"/>
  </w:num>
  <w:num w:numId="4">
    <w:abstractNumId w:val="2"/>
  </w:num>
  <w:num w:numId="5">
    <w:abstractNumId w:val="0"/>
  </w:num>
  <w:num w:numId="6">
    <w:abstractNumId w:val="9"/>
  </w:num>
  <w:num w:numId="7">
    <w:abstractNumId w:val="10"/>
  </w:num>
  <w:num w:numId="8">
    <w:abstractNumId w:val="3"/>
  </w:num>
  <w:num w:numId="9">
    <w:abstractNumId w:val="4"/>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YzZiMTQyN2E0N2MwMjU0ZGEzNDM5NWI5YmMwMGMifQ=="/>
  </w:docVars>
  <w:rsids>
    <w:rsidRoot w:val="00000000"/>
    <w:rsid w:val="00322CF4"/>
    <w:rsid w:val="00535E7A"/>
    <w:rsid w:val="00693BB5"/>
    <w:rsid w:val="009C064B"/>
    <w:rsid w:val="00B8607A"/>
    <w:rsid w:val="010D6029"/>
    <w:rsid w:val="012365F4"/>
    <w:rsid w:val="01662238"/>
    <w:rsid w:val="017D7CB0"/>
    <w:rsid w:val="019C3329"/>
    <w:rsid w:val="01A87AFF"/>
    <w:rsid w:val="01AF0E8E"/>
    <w:rsid w:val="01B34E22"/>
    <w:rsid w:val="01B55B67"/>
    <w:rsid w:val="01CD33D2"/>
    <w:rsid w:val="01F24873"/>
    <w:rsid w:val="01FC4063"/>
    <w:rsid w:val="02045CBB"/>
    <w:rsid w:val="022C0315"/>
    <w:rsid w:val="02452988"/>
    <w:rsid w:val="02B726F0"/>
    <w:rsid w:val="02C24BF1"/>
    <w:rsid w:val="02E32D09"/>
    <w:rsid w:val="02E82C87"/>
    <w:rsid w:val="031C07A5"/>
    <w:rsid w:val="031C2553"/>
    <w:rsid w:val="032236FF"/>
    <w:rsid w:val="032850C9"/>
    <w:rsid w:val="033755DF"/>
    <w:rsid w:val="03484B1A"/>
    <w:rsid w:val="03491DD9"/>
    <w:rsid w:val="034B4BE6"/>
    <w:rsid w:val="03652F5A"/>
    <w:rsid w:val="03726617"/>
    <w:rsid w:val="038239C6"/>
    <w:rsid w:val="03CE570C"/>
    <w:rsid w:val="03D80B70"/>
    <w:rsid w:val="03DF1EFE"/>
    <w:rsid w:val="03E36B87"/>
    <w:rsid w:val="03E5503B"/>
    <w:rsid w:val="03E56DE9"/>
    <w:rsid w:val="03FE1825"/>
    <w:rsid w:val="04021749"/>
    <w:rsid w:val="040502BC"/>
    <w:rsid w:val="042E69E2"/>
    <w:rsid w:val="04473600"/>
    <w:rsid w:val="04585AFE"/>
    <w:rsid w:val="04863B75"/>
    <w:rsid w:val="048760F2"/>
    <w:rsid w:val="049A5E25"/>
    <w:rsid w:val="04CE0A5A"/>
    <w:rsid w:val="04D07379"/>
    <w:rsid w:val="04D255BF"/>
    <w:rsid w:val="04DF7CDC"/>
    <w:rsid w:val="04E84DE3"/>
    <w:rsid w:val="05004133"/>
    <w:rsid w:val="051E6A56"/>
    <w:rsid w:val="05322502"/>
    <w:rsid w:val="059C5DE6"/>
    <w:rsid w:val="05AB7BBE"/>
    <w:rsid w:val="05BD626F"/>
    <w:rsid w:val="05FC4BF8"/>
    <w:rsid w:val="060325D9"/>
    <w:rsid w:val="060B00F2"/>
    <w:rsid w:val="061816F7"/>
    <w:rsid w:val="062A31D9"/>
    <w:rsid w:val="06412C21"/>
    <w:rsid w:val="0644429B"/>
    <w:rsid w:val="06494D3A"/>
    <w:rsid w:val="064E5119"/>
    <w:rsid w:val="064F2C3F"/>
    <w:rsid w:val="065B5A88"/>
    <w:rsid w:val="066F1055"/>
    <w:rsid w:val="06C13B3D"/>
    <w:rsid w:val="06D76D10"/>
    <w:rsid w:val="07137648"/>
    <w:rsid w:val="071874D5"/>
    <w:rsid w:val="0728596A"/>
    <w:rsid w:val="072A7934"/>
    <w:rsid w:val="073140B9"/>
    <w:rsid w:val="073562D9"/>
    <w:rsid w:val="07593D76"/>
    <w:rsid w:val="07642EDA"/>
    <w:rsid w:val="078B2B0E"/>
    <w:rsid w:val="07A64068"/>
    <w:rsid w:val="07AE1290"/>
    <w:rsid w:val="07AF3996"/>
    <w:rsid w:val="07BB0B1D"/>
    <w:rsid w:val="07C02C2A"/>
    <w:rsid w:val="07E61381"/>
    <w:rsid w:val="081128A2"/>
    <w:rsid w:val="08316AA1"/>
    <w:rsid w:val="08422985"/>
    <w:rsid w:val="08733435"/>
    <w:rsid w:val="087805C4"/>
    <w:rsid w:val="08A234FA"/>
    <w:rsid w:val="08E65ADD"/>
    <w:rsid w:val="08F67493"/>
    <w:rsid w:val="0911242E"/>
    <w:rsid w:val="093A1985"/>
    <w:rsid w:val="093D3223"/>
    <w:rsid w:val="093E76C7"/>
    <w:rsid w:val="095B569B"/>
    <w:rsid w:val="09682E4F"/>
    <w:rsid w:val="097E3F67"/>
    <w:rsid w:val="097F3E5A"/>
    <w:rsid w:val="098E18B6"/>
    <w:rsid w:val="09A34BFA"/>
    <w:rsid w:val="09C06D40"/>
    <w:rsid w:val="09C63687"/>
    <w:rsid w:val="09E0252C"/>
    <w:rsid w:val="0A1B64A0"/>
    <w:rsid w:val="0A3845B9"/>
    <w:rsid w:val="0A430D0D"/>
    <w:rsid w:val="0A8A6AF0"/>
    <w:rsid w:val="0ADC6762"/>
    <w:rsid w:val="0B050FA0"/>
    <w:rsid w:val="0B3D750A"/>
    <w:rsid w:val="0B9F0231"/>
    <w:rsid w:val="0BAA5FA1"/>
    <w:rsid w:val="0BB123F7"/>
    <w:rsid w:val="0BB27EF8"/>
    <w:rsid w:val="0BC45197"/>
    <w:rsid w:val="0C2C216E"/>
    <w:rsid w:val="0C7B653C"/>
    <w:rsid w:val="0C8C24F7"/>
    <w:rsid w:val="0C970F7A"/>
    <w:rsid w:val="0CA0789A"/>
    <w:rsid w:val="0CCC4FEA"/>
    <w:rsid w:val="0CE045F1"/>
    <w:rsid w:val="0D296BA4"/>
    <w:rsid w:val="0D6276FC"/>
    <w:rsid w:val="0D692839"/>
    <w:rsid w:val="0D7C07BE"/>
    <w:rsid w:val="0D96381D"/>
    <w:rsid w:val="0E0F33E0"/>
    <w:rsid w:val="0E6354DA"/>
    <w:rsid w:val="0E99714E"/>
    <w:rsid w:val="0EB43F87"/>
    <w:rsid w:val="0EC26351"/>
    <w:rsid w:val="0ECC63BA"/>
    <w:rsid w:val="0EE7435D"/>
    <w:rsid w:val="0EEA1757"/>
    <w:rsid w:val="0EF6634E"/>
    <w:rsid w:val="0F0740B7"/>
    <w:rsid w:val="0F106FAB"/>
    <w:rsid w:val="0F135152"/>
    <w:rsid w:val="0F3C095C"/>
    <w:rsid w:val="0F7A4C91"/>
    <w:rsid w:val="0F8141E3"/>
    <w:rsid w:val="0F964CB9"/>
    <w:rsid w:val="0FA323DC"/>
    <w:rsid w:val="0FB005D0"/>
    <w:rsid w:val="0FD83CA6"/>
    <w:rsid w:val="100F4361"/>
    <w:rsid w:val="10233F86"/>
    <w:rsid w:val="104D01F0"/>
    <w:rsid w:val="107E39A7"/>
    <w:rsid w:val="10CA7F35"/>
    <w:rsid w:val="11034D52"/>
    <w:rsid w:val="11321C8E"/>
    <w:rsid w:val="114B7BEE"/>
    <w:rsid w:val="11586E4C"/>
    <w:rsid w:val="11622A94"/>
    <w:rsid w:val="117B0D8C"/>
    <w:rsid w:val="118F1102"/>
    <w:rsid w:val="11A6405B"/>
    <w:rsid w:val="11B06C88"/>
    <w:rsid w:val="11CC15E8"/>
    <w:rsid w:val="11EC3A38"/>
    <w:rsid w:val="11F12DFD"/>
    <w:rsid w:val="11FC1ECD"/>
    <w:rsid w:val="12040D82"/>
    <w:rsid w:val="120B2AB9"/>
    <w:rsid w:val="12274A70"/>
    <w:rsid w:val="12443874"/>
    <w:rsid w:val="12492C39"/>
    <w:rsid w:val="124F3291"/>
    <w:rsid w:val="12C2271F"/>
    <w:rsid w:val="12D93FBD"/>
    <w:rsid w:val="12F26672"/>
    <w:rsid w:val="132D60B6"/>
    <w:rsid w:val="133B696F"/>
    <w:rsid w:val="136715C8"/>
    <w:rsid w:val="136E0BA9"/>
    <w:rsid w:val="137C607A"/>
    <w:rsid w:val="13AE71F7"/>
    <w:rsid w:val="141D41B0"/>
    <w:rsid w:val="14620C3E"/>
    <w:rsid w:val="149A14D4"/>
    <w:rsid w:val="14AF1C00"/>
    <w:rsid w:val="14BB4E3E"/>
    <w:rsid w:val="14C33176"/>
    <w:rsid w:val="15115C90"/>
    <w:rsid w:val="154212D3"/>
    <w:rsid w:val="15624F26"/>
    <w:rsid w:val="157631A2"/>
    <w:rsid w:val="1582711A"/>
    <w:rsid w:val="15AC0844"/>
    <w:rsid w:val="15B00679"/>
    <w:rsid w:val="15C17597"/>
    <w:rsid w:val="15F335E7"/>
    <w:rsid w:val="15F74496"/>
    <w:rsid w:val="160B6B83"/>
    <w:rsid w:val="16157E8F"/>
    <w:rsid w:val="168004AF"/>
    <w:rsid w:val="16944A55"/>
    <w:rsid w:val="16AA639C"/>
    <w:rsid w:val="16B34625"/>
    <w:rsid w:val="16B965DF"/>
    <w:rsid w:val="16C86822"/>
    <w:rsid w:val="17092361"/>
    <w:rsid w:val="1722712C"/>
    <w:rsid w:val="172510CB"/>
    <w:rsid w:val="174125DA"/>
    <w:rsid w:val="17435837"/>
    <w:rsid w:val="17650515"/>
    <w:rsid w:val="17676279"/>
    <w:rsid w:val="177B1AE6"/>
    <w:rsid w:val="17A93E36"/>
    <w:rsid w:val="17B10098"/>
    <w:rsid w:val="17C92852"/>
    <w:rsid w:val="17CC0594"/>
    <w:rsid w:val="17D47CC0"/>
    <w:rsid w:val="17D7387E"/>
    <w:rsid w:val="17FA5F05"/>
    <w:rsid w:val="17FB0005"/>
    <w:rsid w:val="18126611"/>
    <w:rsid w:val="18137F71"/>
    <w:rsid w:val="182618D6"/>
    <w:rsid w:val="18316A92"/>
    <w:rsid w:val="18477C1A"/>
    <w:rsid w:val="18484EB4"/>
    <w:rsid w:val="18591E3F"/>
    <w:rsid w:val="188D7D23"/>
    <w:rsid w:val="18B863A0"/>
    <w:rsid w:val="18BA663E"/>
    <w:rsid w:val="190440CD"/>
    <w:rsid w:val="19076EAE"/>
    <w:rsid w:val="192A557F"/>
    <w:rsid w:val="194652A7"/>
    <w:rsid w:val="19502AFF"/>
    <w:rsid w:val="196C4B93"/>
    <w:rsid w:val="197548E1"/>
    <w:rsid w:val="19940170"/>
    <w:rsid w:val="19C84D8B"/>
    <w:rsid w:val="19DD2F2D"/>
    <w:rsid w:val="19E5593D"/>
    <w:rsid w:val="19F31E08"/>
    <w:rsid w:val="19F84DE0"/>
    <w:rsid w:val="1A293A7B"/>
    <w:rsid w:val="1A383CBF"/>
    <w:rsid w:val="1A5C58A8"/>
    <w:rsid w:val="1A8011C2"/>
    <w:rsid w:val="1A8213DE"/>
    <w:rsid w:val="1A956A5E"/>
    <w:rsid w:val="1A98650B"/>
    <w:rsid w:val="1A9B157F"/>
    <w:rsid w:val="1A9F3D3E"/>
    <w:rsid w:val="1AB150D4"/>
    <w:rsid w:val="1ABC3C21"/>
    <w:rsid w:val="1AD3625B"/>
    <w:rsid w:val="1AE250EB"/>
    <w:rsid w:val="1AEE0821"/>
    <w:rsid w:val="1B021310"/>
    <w:rsid w:val="1B1C795E"/>
    <w:rsid w:val="1B4072CF"/>
    <w:rsid w:val="1B47501E"/>
    <w:rsid w:val="1B591FAC"/>
    <w:rsid w:val="1B59213E"/>
    <w:rsid w:val="1B5B15D8"/>
    <w:rsid w:val="1B6750B6"/>
    <w:rsid w:val="1B726EB7"/>
    <w:rsid w:val="1B8D1060"/>
    <w:rsid w:val="1BAB49A0"/>
    <w:rsid w:val="1BE35EAC"/>
    <w:rsid w:val="1C0B688F"/>
    <w:rsid w:val="1C1222ED"/>
    <w:rsid w:val="1C137B77"/>
    <w:rsid w:val="1C212950"/>
    <w:rsid w:val="1C23717E"/>
    <w:rsid w:val="1C4F0C0D"/>
    <w:rsid w:val="1C553E00"/>
    <w:rsid w:val="1C56667E"/>
    <w:rsid w:val="1C75458E"/>
    <w:rsid w:val="1C7B60E4"/>
    <w:rsid w:val="1CA67605"/>
    <w:rsid w:val="1CA93799"/>
    <w:rsid w:val="1CB6536F"/>
    <w:rsid w:val="1CBC12ED"/>
    <w:rsid w:val="1CC96E50"/>
    <w:rsid w:val="1CD87093"/>
    <w:rsid w:val="1D214EDE"/>
    <w:rsid w:val="1D29146A"/>
    <w:rsid w:val="1D3A21F3"/>
    <w:rsid w:val="1D705297"/>
    <w:rsid w:val="1D716CC6"/>
    <w:rsid w:val="1DCB1693"/>
    <w:rsid w:val="1DEF6D8A"/>
    <w:rsid w:val="1E464F7E"/>
    <w:rsid w:val="1E4F6573"/>
    <w:rsid w:val="1E5A04DC"/>
    <w:rsid w:val="1E931754"/>
    <w:rsid w:val="1E9E217C"/>
    <w:rsid w:val="1EA54568"/>
    <w:rsid w:val="1EE461C3"/>
    <w:rsid w:val="1EED1F7C"/>
    <w:rsid w:val="1EF96344"/>
    <w:rsid w:val="1F0335AF"/>
    <w:rsid w:val="1F1D1971"/>
    <w:rsid w:val="1F4403D3"/>
    <w:rsid w:val="1F52750D"/>
    <w:rsid w:val="1F56642D"/>
    <w:rsid w:val="1F817EB6"/>
    <w:rsid w:val="1FA35CFB"/>
    <w:rsid w:val="1FAB1516"/>
    <w:rsid w:val="1FAD4807"/>
    <w:rsid w:val="1FC3227C"/>
    <w:rsid w:val="1FE75A77"/>
    <w:rsid w:val="200F3E48"/>
    <w:rsid w:val="209459C7"/>
    <w:rsid w:val="20B9542D"/>
    <w:rsid w:val="20BD4F1E"/>
    <w:rsid w:val="20C41A43"/>
    <w:rsid w:val="20C91B14"/>
    <w:rsid w:val="20CB6A3A"/>
    <w:rsid w:val="20D353F5"/>
    <w:rsid w:val="20E26732"/>
    <w:rsid w:val="20EA6F61"/>
    <w:rsid w:val="210668C5"/>
    <w:rsid w:val="21303941"/>
    <w:rsid w:val="21311468"/>
    <w:rsid w:val="219742DF"/>
    <w:rsid w:val="21B61E28"/>
    <w:rsid w:val="21B91436"/>
    <w:rsid w:val="21D544E9"/>
    <w:rsid w:val="223034CD"/>
    <w:rsid w:val="224C47AB"/>
    <w:rsid w:val="22511DC1"/>
    <w:rsid w:val="226B5CEE"/>
    <w:rsid w:val="227E692E"/>
    <w:rsid w:val="22835CF3"/>
    <w:rsid w:val="22870E1B"/>
    <w:rsid w:val="22974625"/>
    <w:rsid w:val="2298179E"/>
    <w:rsid w:val="22E76CE5"/>
    <w:rsid w:val="231177A3"/>
    <w:rsid w:val="233B6F06"/>
    <w:rsid w:val="2352297E"/>
    <w:rsid w:val="2372136C"/>
    <w:rsid w:val="23A511BE"/>
    <w:rsid w:val="23B1699D"/>
    <w:rsid w:val="23B75C54"/>
    <w:rsid w:val="23C15D52"/>
    <w:rsid w:val="23DC1B5F"/>
    <w:rsid w:val="23E732CD"/>
    <w:rsid w:val="23F14F24"/>
    <w:rsid w:val="241F0CA9"/>
    <w:rsid w:val="2424494D"/>
    <w:rsid w:val="24415E66"/>
    <w:rsid w:val="244319A5"/>
    <w:rsid w:val="245416F5"/>
    <w:rsid w:val="246102B6"/>
    <w:rsid w:val="248144B4"/>
    <w:rsid w:val="24962AB8"/>
    <w:rsid w:val="24C04D14"/>
    <w:rsid w:val="24CC0484"/>
    <w:rsid w:val="251610A0"/>
    <w:rsid w:val="259124D5"/>
    <w:rsid w:val="259B4C2E"/>
    <w:rsid w:val="25BC39F6"/>
    <w:rsid w:val="25C81B96"/>
    <w:rsid w:val="25CE197B"/>
    <w:rsid w:val="25E319AA"/>
    <w:rsid w:val="25ED1AB1"/>
    <w:rsid w:val="25EE5996"/>
    <w:rsid w:val="25F27417"/>
    <w:rsid w:val="260F192F"/>
    <w:rsid w:val="26243349"/>
    <w:rsid w:val="26263565"/>
    <w:rsid w:val="26396DF4"/>
    <w:rsid w:val="2644520B"/>
    <w:rsid w:val="26485289"/>
    <w:rsid w:val="265D3896"/>
    <w:rsid w:val="266811F3"/>
    <w:rsid w:val="266F2269"/>
    <w:rsid w:val="267978D8"/>
    <w:rsid w:val="267E514F"/>
    <w:rsid w:val="267F67D1"/>
    <w:rsid w:val="26836A3F"/>
    <w:rsid w:val="26966A8E"/>
    <w:rsid w:val="269F0520"/>
    <w:rsid w:val="26B11081"/>
    <w:rsid w:val="26C30B73"/>
    <w:rsid w:val="26E665E6"/>
    <w:rsid w:val="26E66850"/>
    <w:rsid w:val="26F23FD9"/>
    <w:rsid w:val="270E64D3"/>
    <w:rsid w:val="272E233B"/>
    <w:rsid w:val="273B733E"/>
    <w:rsid w:val="27430A91"/>
    <w:rsid w:val="27644345"/>
    <w:rsid w:val="279D218B"/>
    <w:rsid w:val="27B119B4"/>
    <w:rsid w:val="27D23C61"/>
    <w:rsid w:val="27F84A8D"/>
    <w:rsid w:val="28005008"/>
    <w:rsid w:val="284B0B97"/>
    <w:rsid w:val="285A12A4"/>
    <w:rsid w:val="286363AA"/>
    <w:rsid w:val="286D7229"/>
    <w:rsid w:val="287A36F4"/>
    <w:rsid w:val="28810F26"/>
    <w:rsid w:val="28976F15"/>
    <w:rsid w:val="289C035C"/>
    <w:rsid w:val="28D23FDD"/>
    <w:rsid w:val="28F45771"/>
    <w:rsid w:val="2908530F"/>
    <w:rsid w:val="294F4B81"/>
    <w:rsid w:val="2964062C"/>
    <w:rsid w:val="298011DE"/>
    <w:rsid w:val="298A3E0B"/>
    <w:rsid w:val="2991584D"/>
    <w:rsid w:val="299B33FD"/>
    <w:rsid w:val="29A50C45"/>
    <w:rsid w:val="29A529F3"/>
    <w:rsid w:val="29B2144F"/>
    <w:rsid w:val="29BD5DB4"/>
    <w:rsid w:val="29E4176D"/>
    <w:rsid w:val="2A3C4A2D"/>
    <w:rsid w:val="2A4C31DA"/>
    <w:rsid w:val="2A615E04"/>
    <w:rsid w:val="2A7F22D9"/>
    <w:rsid w:val="2ABC5917"/>
    <w:rsid w:val="2AF25CC9"/>
    <w:rsid w:val="2AFA28CA"/>
    <w:rsid w:val="2B001351"/>
    <w:rsid w:val="2B2535DF"/>
    <w:rsid w:val="2B4029D3"/>
    <w:rsid w:val="2B4A4238"/>
    <w:rsid w:val="2B4F2E7E"/>
    <w:rsid w:val="2B624616"/>
    <w:rsid w:val="2B7B7EAF"/>
    <w:rsid w:val="2B9C1E34"/>
    <w:rsid w:val="2B9D7E25"/>
    <w:rsid w:val="2B9F2E87"/>
    <w:rsid w:val="2BAF5BF2"/>
    <w:rsid w:val="2BEE68D3"/>
    <w:rsid w:val="2C2149AB"/>
    <w:rsid w:val="2C2371EC"/>
    <w:rsid w:val="2C246EED"/>
    <w:rsid w:val="2C273B93"/>
    <w:rsid w:val="2C871D0E"/>
    <w:rsid w:val="2CB216AE"/>
    <w:rsid w:val="2CBF3DCB"/>
    <w:rsid w:val="2CC43190"/>
    <w:rsid w:val="2CD07DA8"/>
    <w:rsid w:val="2CD21D51"/>
    <w:rsid w:val="2CDC672B"/>
    <w:rsid w:val="2CF61E0D"/>
    <w:rsid w:val="2CFF241A"/>
    <w:rsid w:val="2D0C5F01"/>
    <w:rsid w:val="2D1C760A"/>
    <w:rsid w:val="2D1F430B"/>
    <w:rsid w:val="2D274DDC"/>
    <w:rsid w:val="2D452523"/>
    <w:rsid w:val="2D7840E7"/>
    <w:rsid w:val="2D8C63A3"/>
    <w:rsid w:val="2D9B079E"/>
    <w:rsid w:val="2DA03BFD"/>
    <w:rsid w:val="2DC6679F"/>
    <w:rsid w:val="2DEF0B87"/>
    <w:rsid w:val="2E0C5D1F"/>
    <w:rsid w:val="2E100D83"/>
    <w:rsid w:val="2E354385"/>
    <w:rsid w:val="2E3679E4"/>
    <w:rsid w:val="2E803230"/>
    <w:rsid w:val="2EAE2349"/>
    <w:rsid w:val="2EBA3FE4"/>
    <w:rsid w:val="2ED3655B"/>
    <w:rsid w:val="2ED95618"/>
    <w:rsid w:val="2F00140F"/>
    <w:rsid w:val="2F106B60"/>
    <w:rsid w:val="2F2E7F37"/>
    <w:rsid w:val="2F3A3BDD"/>
    <w:rsid w:val="2F6F1AD9"/>
    <w:rsid w:val="2F762E67"/>
    <w:rsid w:val="2F854E58"/>
    <w:rsid w:val="2F98322E"/>
    <w:rsid w:val="2FA21EAE"/>
    <w:rsid w:val="2FA710BF"/>
    <w:rsid w:val="2FBB6ACC"/>
    <w:rsid w:val="2FDE0A0C"/>
    <w:rsid w:val="2FF03464"/>
    <w:rsid w:val="2FF90B70"/>
    <w:rsid w:val="300466C5"/>
    <w:rsid w:val="30110DE2"/>
    <w:rsid w:val="30145578"/>
    <w:rsid w:val="303C3CF9"/>
    <w:rsid w:val="303D212F"/>
    <w:rsid w:val="304545E8"/>
    <w:rsid w:val="30795651"/>
    <w:rsid w:val="3082649B"/>
    <w:rsid w:val="308E51A7"/>
    <w:rsid w:val="30B73737"/>
    <w:rsid w:val="30C17FB6"/>
    <w:rsid w:val="30D56451"/>
    <w:rsid w:val="30DE5DD6"/>
    <w:rsid w:val="30EF0056"/>
    <w:rsid w:val="3106021B"/>
    <w:rsid w:val="313B5C41"/>
    <w:rsid w:val="313E5634"/>
    <w:rsid w:val="31747BDC"/>
    <w:rsid w:val="3186392A"/>
    <w:rsid w:val="318A514C"/>
    <w:rsid w:val="319D4FDA"/>
    <w:rsid w:val="31A51BF1"/>
    <w:rsid w:val="31B729CE"/>
    <w:rsid w:val="31DD5420"/>
    <w:rsid w:val="320F75A3"/>
    <w:rsid w:val="32137940"/>
    <w:rsid w:val="32220B30"/>
    <w:rsid w:val="324D2D70"/>
    <w:rsid w:val="329E607A"/>
    <w:rsid w:val="32E66CC8"/>
    <w:rsid w:val="32F10A57"/>
    <w:rsid w:val="32F6606D"/>
    <w:rsid w:val="330509E8"/>
    <w:rsid w:val="33572FB0"/>
    <w:rsid w:val="337A529E"/>
    <w:rsid w:val="338171D9"/>
    <w:rsid w:val="33A46C30"/>
    <w:rsid w:val="33BC2E13"/>
    <w:rsid w:val="33E31406"/>
    <w:rsid w:val="340A2FBD"/>
    <w:rsid w:val="340A53AB"/>
    <w:rsid w:val="34207846"/>
    <w:rsid w:val="3422536C"/>
    <w:rsid w:val="342A588A"/>
    <w:rsid w:val="345B6AD0"/>
    <w:rsid w:val="34A4219B"/>
    <w:rsid w:val="34C47495"/>
    <w:rsid w:val="351124A1"/>
    <w:rsid w:val="35624D04"/>
    <w:rsid w:val="35A16764"/>
    <w:rsid w:val="35AB40DE"/>
    <w:rsid w:val="35BC70FA"/>
    <w:rsid w:val="35D42B71"/>
    <w:rsid w:val="35F02716"/>
    <w:rsid w:val="35F44AE6"/>
    <w:rsid w:val="35F9642A"/>
    <w:rsid w:val="35FF40A2"/>
    <w:rsid w:val="36022B6E"/>
    <w:rsid w:val="361E6007"/>
    <w:rsid w:val="364F61C0"/>
    <w:rsid w:val="367C4ADB"/>
    <w:rsid w:val="367D2D2D"/>
    <w:rsid w:val="368D0A96"/>
    <w:rsid w:val="368E0AA6"/>
    <w:rsid w:val="36940077"/>
    <w:rsid w:val="36AA33F6"/>
    <w:rsid w:val="36BA7F39"/>
    <w:rsid w:val="36BD7687"/>
    <w:rsid w:val="370C2303"/>
    <w:rsid w:val="373D7DD0"/>
    <w:rsid w:val="3756096A"/>
    <w:rsid w:val="37677539"/>
    <w:rsid w:val="377D0B0B"/>
    <w:rsid w:val="377E5A8A"/>
    <w:rsid w:val="37957CBD"/>
    <w:rsid w:val="37F90E2C"/>
    <w:rsid w:val="37FD4BD1"/>
    <w:rsid w:val="38084878"/>
    <w:rsid w:val="382E44BD"/>
    <w:rsid w:val="38606463"/>
    <w:rsid w:val="38767A34"/>
    <w:rsid w:val="38867946"/>
    <w:rsid w:val="388859B9"/>
    <w:rsid w:val="38B642D4"/>
    <w:rsid w:val="38E61C31"/>
    <w:rsid w:val="38F34125"/>
    <w:rsid w:val="38F80D91"/>
    <w:rsid w:val="38F90539"/>
    <w:rsid w:val="39214533"/>
    <w:rsid w:val="394F6D09"/>
    <w:rsid w:val="395B4E7C"/>
    <w:rsid w:val="396A158D"/>
    <w:rsid w:val="39B06F76"/>
    <w:rsid w:val="39D54C2E"/>
    <w:rsid w:val="39D96A4E"/>
    <w:rsid w:val="39E25992"/>
    <w:rsid w:val="39E66E3B"/>
    <w:rsid w:val="3A0F3E03"/>
    <w:rsid w:val="3A1A0893"/>
    <w:rsid w:val="3A2B0CF2"/>
    <w:rsid w:val="3A2C215F"/>
    <w:rsid w:val="3A35480A"/>
    <w:rsid w:val="3A562E92"/>
    <w:rsid w:val="3A6F0BDF"/>
    <w:rsid w:val="3A766411"/>
    <w:rsid w:val="3AA80681"/>
    <w:rsid w:val="3AAC62BA"/>
    <w:rsid w:val="3ABA199E"/>
    <w:rsid w:val="3B1B1050"/>
    <w:rsid w:val="3B1D0049"/>
    <w:rsid w:val="3B2311CE"/>
    <w:rsid w:val="3B2922BD"/>
    <w:rsid w:val="3B396C0A"/>
    <w:rsid w:val="3B5E0C42"/>
    <w:rsid w:val="3B867647"/>
    <w:rsid w:val="3B8701AA"/>
    <w:rsid w:val="3BD3519D"/>
    <w:rsid w:val="3BDA477E"/>
    <w:rsid w:val="3BE61375"/>
    <w:rsid w:val="3BF22BF4"/>
    <w:rsid w:val="3C1E0B0E"/>
    <w:rsid w:val="3C1E28BD"/>
    <w:rsid w:val="3C320116"/>
    <w:rsid w:val="3C4E1E71"/>
    <w:rsid w:val="3C5067EE"/>
    <w:rsid w:val="3C6070FE"/>
    <w:rsid w:val="3C756255"/>
    <w:rsid w:val="3C81109D"/>
    <w:rsid w:val="3C886DBE"/>
    <w:rsid w:val="3CD613E9"/>
    <w:rsid w:val="3CDA7149"/>
    <w:rsid w:val="3CF33D49"/>
    <w:rsid w:val="3D08531B"/>
    <w:rsid w:val="3D0D46DF"/>
    <w:rsid w:val="3D1464B8"/>
    <w:rsid w:val="3D600CB3"/>
    <w:rsid w:val="3D6E1622"/>
    <w:rsid w:val="3D7D3530"/>
    <w:rsid w:val="3D850B8F"/>
    <w:rsid w:val="3DA06A0D"/>
    <w:rsid w:val="3DB730EA"/>
    <w:rsid w:val="3DC43459"/>
    <w:rsid w:val="3E18333B"/>
    <w:rsid w:val="3E4072D3"/>
    <w:rsid w:val="3E53401E"/>
    <w:rsid w:val="3E787531"/>
    <w:rsid w:val="3E8C7989"/>
    <w:rsid w:val="3E96031E"/>
    <w:rsid w:val="3EB56DDC"/>
    <w:rsid w:val="3EC5671A"/>
    <w:rsid w:val="3ECF60F0"/>
    <w:rsid w:val="3EF1250A"/>
    <w:rsid w:val="3EFF207E"/>
    <w:rsid w:val="3F1A7A88"/>
    <w:rsid w:val="3F385157"/>
    <w:rsid w:val="3F525119"/>
    <w:rsid w:val="3F5E1222"/>
    <w:rsid w:val="3F795257"/>
    <w:rsid w:val="3F977902"/>
    <w:rsid w:val="3FB86B84"/>
    <w:rsid w:val="3FC1784D"/>
    <w:rsid w:val="3FC83322"/>
    <w:rsid w:val="3FD96707"/>
    <w:rsid w:val="3FDB2873"/>
    <w:rsid w:val="3FE03582"/>
    <w:rsid w:val="3FEB6F5A"/>
    <w:rsid w:val="3FFB4CC3"/>
    <w:rsid w:val="40055B41"/>
    <w:rsid w:val="400A2C96"/>
    <w:rsid w:val="401A366A"/>
    <w:rsid w:val="40324CB6"/>
    <w:rsid w:val="40391CA9"/>
    <w:rsid w:val="403E38F8"/>
    <w:rsid w:val="404F4654"/>
    <w:rsid w:val="405D772B"/>
    <w:rsid w:val="406B1E48"/>
    <w:rsid w:val="40D64942"/>
    <w:rsid w:val="410411A6"/>
    <w:rsid w:val="410C362B"/>
    <w:rsid w:val="4126745A"/>
    <w:rsid w:val="412D57BB"/>
    <w:rsid w:val="41692D59"/>
    <w:rsid w:val="418D67FE"/>
    <w:rsid w:val="41955ED9"/>
    <w:rsid w:val="41BB3AA6"/>
    <w:rsid w:val="41E77BF5"/>
    <w:rsid w:val="4202058A"/>
    <w:rsid w:val="420D18AD"/>
    <w:rsid w:val="42187DAE"/>
    <w:rsid w:val="42563E10"/>
    <w:rsid w:val="427F7E2D"/>
    <w:rsid w:val="42841576"/>
    <w:rsid w:val="42A12FDC"/>
    <w:rsid w:val="42D61159"/>
    <w:rsid w:val="42FE3923"/>
    <w:rsid w:val="43032A63"/>
    <w:rsid w:val="433F136A"/>
    <w:rsid w:val="434D6BCE"/>
    <w:rsid w:val="436239D7"/>
    <w:rsid w:val="436D4D4C"/>
    <w:rsid w:val="437F6E30"/>
    <w:rsid w:val="4383394D"/>
    <w:rsid w:val="438B1F09"/>
    <w:rsid w:val="4396789F"/>
    <w:rsid w:val="43D828CB"/>
    <w:rsid w:val="44366C11"/>
    <w:rsid w:val="4438573E"/>
    <w:rsid w:val="444C3614"/>
    <w:rsid w:val="44716D30"/>
    <w:rsid w:val="44872FC9"/>
    <w:rsid w:val="449B3856"/>
    <w:rsid w:val="4519777D"/>
    <w:rsid w:val="45644B3B"/>
    <w:rsid w:val="457E261E"/>
    <w:rsid w:val="45A65213"/>
    <w:rsid w:val="45AC718B"/>
    <w:rsid w:val="45B22530"/>
    <w:rsid w:val="45CD0EAF"/>
    <w:rsid w:val="462B0024"/>
    <w:rsid w:val="462E7BA0"/>
    <w:rsid w:val="464F6F81"/>
    <w:rsid w:val="467A0678"/>
    <w:rsid w:val="468671F8"/>
    <w:rsid w:val="46911EDD"/>
    <w:rsid w:val="46BC6600"/>
    <w:rsid w:val="46BD0F24"/>
    <w:rsid w:val="46D70238"/>
    <w:rsid w:val="46DA0B33"/>
    <w:rsid w:val="46FC1A4C"/>
    <w:rsid w:val="47265A19"/>
    <w:rsid w:val="4729480B"/>
    <w:rsid w:val="473236C0"/>
    <w:rsid w:val="47613FA5"/>
    <w:rsid w:val="47811744"/>
    <w:rsid w:val="47A10846"/>
    <w:rsid w:val="47A619B8"/>
    <w:rsid w:val="47B26F20"/>
    <w:rsid w:val="47BB3EEB"/>
    <w:rsid w:val="47C9184C"/>
    <w:rsid w:val="47E9248C"/>
    <w:rsid w:val="47F75748"/>
    <w:rsid w:val="47FC5A7C"/>
    <w:rsid w:val="4800731A"/>
    <w:rsid w:val="4856518C"/>
    <w:rsid w:val="48710218"/>
    <w:rsid w:val="487D29EC"/>
    <w:rsid w:val="488066AD"/>
    <w:rsid w:val="48942E23"/>
    <w:rsid w:val="48A51332"/>
    <w:rsid w:val="48A52FB5"/>
    <w:rsid w:val="48B27564"/>
    <w:rsid w:val="48BB1493"/>
    <w:rsid w:val="48C04CFB"/>
    <w:rsid w:val="48D97E2C"/>
    <w:rsid w:val="4989333F"/>
    <w:rsid w:val="498C7B7B"/>
    <w:rsid w:val="49BC3715"/>
    <w:rsid w:val="49EA0282"/>
    <w:rsid w:val="49F66C27"/>
    <w:rsid w:val="4A007BA6"/>
    <w:rsid w:val="4A040E03"/>
    <w:rsid w:val="4A2F37DA"/>
    <w:rsid w:val="4A443E36"/>
    <w:rsid w:val="4A655FE5"/>
    <w:rsid w:val="4A844D70"/>
    <w:rsid w:val="4AB15353"/>
    <w:rsid w:val="4ACE4B46"/>
    <w:rsid w:val="4ADC3050"/>
    <w:rsid w:val="4AF3513C"/>
    <w:rsid w:val="4AF94857"/>
    <w:rsid w:val="4AFF78A8"/>
    <w:rsid w:val="4B7A64BC"/>
    <w:rsid w:val="4B8169C4"/>
    <w:rsid w:val="4B83273C"/>
    <w:rsid w:val="4B871B00"/>
    <w:rsid w:val="4B8B6C6F"/>
    <w:rsid w:val="4BFA22D2"/>
    <w:rsid w:val="4C2C4925"/>
    <w:rsid w:val="4C30291D"/>
    <w:rsid w:val="4C3B065C"/>
    <w:rsid w:val="4C5952B2"/>
    <w:rsid w:val="4CAE129E"/>
    <w:rsid w:val="4CBE77A4"/>
    <w:rsid w:val="4CC50B32"/>
    <w:rsid w:val="4CCD706A"/>
    <w:rsid w:val="4D387556"/>
    <w:rsid w:val="4D563863"/>
    <w:rsid w:val="4D5F1B97"/>
    <w:rsid w:val="4D924EB8"/>
    <w:rsid w:val="4DB20B35"/>
    <w:rsid w:val="4DB52955"/>
    <w:rsid w:val="4DB77F9E"/>
    <w:rsid w:val="4DD54DA5"/>
    <w:rsid w:val="4DE1374A"/>
    <w:rsid w:val="4E165AE9"/>
    <w:rsid w:val="4E1C29D4"/>
    <w:rsid w:val="4E291A3C"/>
    <w:rsid w:val="4E524648"/>
    <w:rsid w:val="4E6A7BE3"/>
    <w:rsid w:val="4E8E1A14"/>
    <w:rsid w:val="4EA61D07"/>
    <w:rsid w:val="4EC13C33"/>
    <w:rsid w:val="4EC21AA5"/>
    <w:rsid w:val="4ECD3CCE"/>
    <w:rsid w:val="4F245FE4"/>
    <w:rsid w:val="4F3501F1"/>
    <w:rsid w:val="4F8D7C36"/>
    <w:rsid w:val="4F9858D4"/>
    <w:rsid w:val="4FAF62D6"/>
    <w:rsid w:val="4FDC64AC"/>
    <w:rsid w:val="500C1EE2"/>
    <w:rsid w:val="504B75A0"/>
    <w:rsid w:val="50630495"/>
    <w:rsid w:val="50770396"/>
    <w:rsid w:val="509B778B"/>
    <w:rsid w:val="509C7BBB"/>
    <w:rsid w:val="50A23C1A"/>
    <w:rsid w:val="50CE73D9"/>
    <w:rsid w:val="50D14AE5"/>
    <w:rsid w:val="50D14DC3"/>
    <w:rsid w:val="51031A0F"/>
    <w:rsid w:val="511931FB"/>
    <w:rsid w:val="51226553"/>
    <w:rsid w:val="513242BC"/>
    <w:rsid w:val="51481F7A"/>
    <w:rsid w:val="51581F75"/>
    <w:rsid w:val="519047C4"/>
    <w:rsid w:val="51954F77"/>
    <w:rsid w:val="519A07DF"/>
    <w:rsid w:val="51A977D5"/>
    <w:rsid w:val="51C13FBE"/>
    <w:rsid w:val="51CB5E3D"/>
    <w:rsid w:val="51CD2963"/>
    <w:rsid w:val="51D41141"/>
    <w:rsid w:val="51DD691E"/>
    <w:rsid w:val="51E51DF3"/>
    <w:rsid w:val="51F10AA8"/>
    <w:rsid w:val="5245699D"/>
    <w:rsid w:val="527C1C93"/>
    <w:rsid w:val="528277F2"/>
    <w:rsid w:val="529344E8"/>
    <w:rsid w:val="5294522F"/>
    <w:rsid w:val="52A87EF5"/>
    <w:rsid w:val="52B40CB9"/>
    <w:rsid w:val="52B5546F"/>
    <w:rsid w:val="52B86B40"/>
    <w:rsid w:val="52E55A8A"/>
    <w:rsid w:val="53185E60"/>
    <w:rsid w:val="534D3D67"/>
    <w:rsid w:val="5358625C"/>
    <w:rsid w:val="53643405"/>
    <w:rsid w:val="538C7084"/>
    <w:rsid w:val="53A4760D"/>
    <w:rsid w:val="53AD4551"/>
    <w:rsid w:val="53B67A4A"/>
    <w:rsid w:val="53C009E0"/>
    <w:rsid w:val="53C53FAE"/>
    <w:rsid w:val="53CF4C12"/>
    <w:rsid w:val="54085ED4"/>
    <w:rsid w:val="54372E20"/>
    <w:rsid w:val="54807156"/>
    <w:rsid w:val="54CC02B7"/>
    <w:rsid w:val="54F071DD"/>
    <w:rsid w:val="55223F79"/>
    <w:rsid w:val="55296133"/>
    <w:rsid w:val="552D55E3"/>
    <w:rsid w:val="55481C10"/>
    <w:rsid w:val="55E62245"/>
    <w:rsid w:val="560A43D7"/>
    <w:rsid w:val="562E467A"/>
    <w:rsid w:val="563F3703"/>
    <w:rsid w:val="564927D4"/>
    <w:rsid w:val="564E3947"/>
    <w:rsid w:val="56922200"/>
    <w:rsid w:val="56946F80"/>
    <w:rsid w:val="57252DD3"/>
    <w:rsid w:val="57340D8E"/>
    <w:rsid w:val="574704ED"/>
    <w:rsid w:val="576A0C54"/>
    <w:rsid w:val="57816AB8"/>
    <w:rsid w:val="579176FC"/>
    <w:rsid w:val="57E907D3"/>
    <w:rsid w:val="57F30C49"/>
    <w:rsid w:val="580A7D41"/>
    <w:rsid w:val="581F6D2F"/>
    <w:rsid w:val="58294405"/>
    <w:rsid w:val="582F2C63"/>
    <w:rsid w:val="583F3E8F"/>
    <w:rsid w:val="5853793A"/>
    <w:rsid w:val="58A17BDB"/>
    <w:rsid w:val="58FE1654"/>
    <w:rsid w:val="592F57E5"/>
    <w:rsid w:val="59646FED"/>
    <w:rsid w:val="59701E26"/>
    <w:rsid w:val="59A0095D"/>
    <w:rsid w:val="59B01812"/>
    <w:rsid w:val="59C57C53"/>
    <w:rsid w:val="59E13CD7"/>
    <w:rsid w:val="5A30391B"/>
    <w:rsid w:val="5A3B2A23"/>
    <w:rsid w:val="5A50495F"/>
    <w:rsid w:val="5A552422"/>
    <w:rsid w:val="5A603874"/>
    <w:rsid w:val="5A6A7EA6"/>
    <w:rsid w:val="5A71758C"/>
    <w:rsid w:val="5AAC0505"/>
    <w:rsid w:val="5AB67D0C"/>
    <w:rsid w:val="5AF269E2"/>
    <w:rsid w:val="5B081AC7"/>
    <w:rsid w:val="5B092532"/>
    <w:rsid w:val="5B3F38F0"/>
    <w:rsid w:val="5B501F0F"/>
    <w:rsid w:val="5B51362C"/>
    <w:rsid w:val="5B543B6F"/>
    <w:rsid w:val="5B5F5C30"/>
    <w:rsid w:val="5BC338CF"/>
    <w:rsid w:val="5BCC5A39"/>
    <w:rsid w:val="5BD23001"/>
    <w:rsid w:val="5BE10DB9"/>
    <w:rsid w:val="5BE16D34"/>
    <w:rsid w:val="5BF907F8"/>
    <w:rsid w:val="5C1C6713"/>
    <w:rsid w:val="5C2238AB"/>
    <w:rsid w:val="5C451D35"/>
    <w:rsid w:val="5C455045"/>
    <w:rsid w:val="5C4B7407"/>
    <w:rsid w:val="5C5A3338"/>
    <w:rsid w:val="5C602626"/>
    <w:rsid w:val="5C6430AC"/>
    <w:rsid w:val="5C9365CC"/>
    <w:rsid w:val="5CC26E3C"/>
    <w:rsid w:val="5CCD16D5"/>
    <w:rsid w:val="5CD56EC8"/>
    <w:rsid w:val="5CD7058A"/>
    <w:rsid w:val="5CE05C01"/>
    <w:rsid w:val="5CFB6891"/>
    <w:rsid w:val="5CFF3BED"/>
    <w:rsid w:val="5D284EF1"/>
    <w:rsid w:val="5D447851"/>
    <w:rsid w:val="5D535CE6"/>
    <w:rsid w:val="5D6323CD"/>
    <w:rsid w:val="5D90219C"/>
    <w:rsid w:val="5DA36C6E"/>
    <w:rsid w:val="5DC841B6"/>
    <w:rsid w:val="5DE53A00"/>
    <w:rsid w:val="5DEF2A14"/>
    <w:rsid w:val="5E0019CA"/>
    <w:rsid w:val="5E07616D"/>
    <w:rsid w:val="5E437B09"/>
    <w:rsid w:val="5E6F4974"/>
    <w:rsid w:val="5EA47B1E"/>
    <w:rsid w:val="5EA9021C"/>
    <w:rsid w:val="5EB31C23"/>
    <w:rsid w:val="5ECB5A6E"/>
    <w:rsid w:val="5EF849FD"/>
    <w:rsid w:val="5F1A4D0E"/>
    <w:rsid w:val="5F24793A"/>
    <w:rsid w:val="5F2B0CC9"/>
    <w:rsid w:val="5F367055"/>
    <w:rsid w:val="5F3B6A32"/>
    <w:rsid w:val="5F5521EA"/>
    <w:rsid w:val="5F582948"/>
    <w:rsid w:val="5FAF035B"/>
    <w:rsid w:val="60025ECE"/>
    <w:rsid w:val="6005151A"/>
    <w:rsid w:val="60086A6E"/>
    <w:rsid w:val="60121E89"/>
    <w:rsid w:val="60211453"/>
    <w:rsid w:val="603676AA"/>
    <w:rsid w:val="604E1113"/>
    <w:rsid w:val="60505595"/>
    <w:rsid w:val="6052174A"/>
    <w:rsid w:val="608E05D9"/>
    <w:rsid w:val="60927BC0"/>
    <w:rsid w:val="60CE402E"/>
    <w:rsid w:val="60D55DF3"/>
    <w:rsid w:val="60E16C49"/>
    <w:rsid w:val="610016D8"/>
    <w:rsid w:val="614918DA"/>
    <w:rsid w:val="61572249"/>
    <w:rsid w:val="617C1CB0"/>
    <w:rsid w:val="619F63E3"/>
    <w:rsid w:val="61A81485"/>
    <w:rsid w:val="61BA27D8"/>
    <w:rsid w:val="61E44BE9"/>
    <w:rsid w:val="62133759"/>
    <w:rsid w:val="62160CDC"/>
    <w:rsid w:val="621974FF"/>
    <w:rsid w:val="621C6331"/>
    <w:rsid w:val="624004A9"/>
    <w:rsid w:val="62586279"/>
    <w:rsid w:val="627B3D15"/>
    <w:rsid w:val="62B17737"/>
    <w:rsid w:val="62BD432E"/>
    <w:rsid w:val="62D14DA0"/>
    <w:rsid w:val="630E3347"/>
    <w:rsid w:val="63161C90"/>
    <w:rsid w:val="63295870"/>
    <w:rsid w:val="63471E49"/>
    <w:rsid w:val="636E73D6"/>
    <w:rsid w:val="6388493C"/>
    <w:rsid w:val="63C416EC"/>
    <w:rsid w:val="63D31610"/>
    <w:rsid w:val="63FE69AC"/>
    <w:rsid w:val="63FF2724"/>
    <w:rsid w:val="64026406"/>
    <w:rsid w:val="643054ED"/>
    <w:rsid w:val="644E64B4"/>
    <w:rsid w:val="64653D1C"/>
    <w:rsid w:val="646C600B"/>
    <w:rsid w:val="64B147DE"/>
    <w:rsid w:val="64D0549B"/>
    <w:rsid w:val="64D94532"/>
    <w:rsid w:val="64EE23A6"/>
    <w:rsid w:val="651C1BB1"/>
    <w:rsid w:val="652F2B95"/>
    <w:rsid w:val="6566156E"/>
    <w:rsid w:val="656F2947"/>
    <w:rsid w:val="656F7435"/>
    <w:rsid w:val="658119DE"/>
    <w:rsid w:val="65817895"/>
    <w:rsid w:val="65C21E3B"/>
    <w:rsid w:val="65D73C5E"/>
    <w:rsid w:val="6609124D"/>
    <w:rsid w:val="660966FF"/>
    <w:rsid w:val="661F7706"/>
    <w:rsid w:val="66850369"/>
    <w:rsid w:val="66AA03D9"/>
    <w:rsid w:val="671E1113"/>
    <w:rsid w:val="672C7A25"/>
    <w:rsid w:val="6734111D"/>
    <w:rsid w:val="674A63AC"/>
    <w:rsid w:val="676A79D5"/>
    <w:rsid w:val="677060AD"/>
    <w:rsid w:val="67801DCE"/>
    <w:rsid w:val="67C670D7"/>
    <w:rsid w:val="67DD7768"/>
    <w:rsid w:val="67E1051B"/>
    <w:rsid w:val="68112A26"/>
    <w:rsid w:val="6828049B"/>
    <w:rsid w:val="683A45D6"/>
    <w:rsid w:val="68757459"/>
    <w:rsid w:val="68C12039"/>
    <w:rsid w:val="68C305E8"/>
    <w:rsid w:val="68DD74D8"/>
    <w:rsid w:val="68DE0FAB"/>
    <w:rsid w:val="68E63EB3"/>
    <w:rsid w:val="694806C9"/>
    <w:rsid w:val="696F7198"/>
    <w:rsid w:val="697C7B8E"/>
    <w:rsid w:val="699D7052"/>
    <w:rsid w:val="69AB1384"/>
    <w:rsid w:val="69DA6216"/>
    <w:rsid w:val="69E92CFF"/>
    <w:rsid w:val="69F85C4B"/>
    <w:rsid w:val="6A0B1E23"/>
    <w:rsid w:val="6A457E42"/>
    <w:rsid w:val="6A575068"/>
    <w:rsid w:val="6A6A009F"/>
    <w:rsid w:val="6A9A62B3"/>
    <w:rsid w:val="6ABC01FC"/>
    <w:rsid w:val="6ACD532A"/>
    <w:rsid w:val="6AD466B8"/>
    <w:rsid w:val="6AF40B09"/>
    <w:rsid w:val="6B094232"/>
    <w:rsid w:val="6B0F4D73"/>
    <w:rsid w:val="6B1127E7"/>
    <w:rsid w:val="6B2011A7"/>
    <w:rsid w:val="6B3A6A9E"/>
    <w:rsid w:val="6B4057C9"/>
    <w:rsid w:val="6B5042B7"/>
    <w:rsid w:val="6B590E88"/>
    <w:rsid w:val="6B5E41D4"/>
    <w:rsid w:val="6B6A2B79"/>
    <w:rsid w:val="6B915518"/>
    <w:rsid w:val="6B931626"/>
    <w:rsid w:val="6BA961FE"/>
    <w:rsid w:val="6BC23DB7"/>
    <w:rsid w:val="6BC3046E"/>
    <w:rsid w:val="6BFD1674"/>
    <w:rsid w:val="6C1C0317"/>
    <w:rsid w:val="6C2018C1"/>
    <w:rsid w:val="6C4C227F"/>
    <w:rsid w:val="6C6C04E5"/>
    <w:rsid w:val="6C7A52CF"/>
    <w:rsid w:val="6C8C1AB1"/>
    <w:rsid w:val="6CE91600"/>
    <w:rsid w:val="6CF21078"/>
    <w:rsid w:val="6CF80B19"/>
    <w:rsid w:val="6D4A1D92"/>
    <w:rsid w:val="6D4B2536"/>
    <w:rsid w:val="6DAA54AF"/>
    <w:rsid w:val="6DAF51BB"/>
    <w:rsid w:val="6DC55F1C"/>
    <w:rsid w:val="6DCF54BF"/>
    <w:rsid w:val="6DDF4E66"/>
    <w:rsid w:val="6DE704B1"/>
    <w:rsid w:val="6DF57072"/>
    <w:rsid w:val="6E0E1EE1"/>
    <w:rsid w:val="6E9C5850"/>
    <w:rsid w:val="6EBE3907"/>
    <w:rsid w:val="6EC4452A"/>
    <w:rsid w:val="6EDF5A82"/>
    <w:rsid w:val="6EF61514"/>
    <w:rsid w:val="6F1E43A6"/>
    <w:rsid w:val="6F3C65DA"/>
    <w:rsid w:val="6F6B5112"/>
    <w:rsid w:val="6F6D49E6"/>
    <w:rsid w:val="6F9E7295"/>
    <w:rsid w:val="6FAC4387"/>
    <w:rsid w:val="6FC211D5"/>
    <w:rsid w:val="6FD902CD"/>
    <w:rsid w:val="6FE746A6"/>
    <w:rsid w:val="6FE949B4"/>
    <w:rsid w:val="6FEC2759"/>
    <w:rsid w:val="6FF70753"/>
    <w:rsid w:val="70025A76"/>
    <w:rsid w:val="700D75EE"/>
    <w:rsid w:val="70497201"/>
    <w:rsid w:val="704C0A9F"/>
    <w:rsid w:val="70545BA6"/>
    <w:rsid w:val="705D0EFE"/>
    <w:rsid w:val="705D6BB2"/>
    <w:rsid w:val="70653091"/>
    <w:rsid w:val="70C23B06"/>
    <w:rsid w:val="70D56CE6"/>
    <w:rsid w:val="70D94A29"/>
    <w:rsid w:val="70DB3C86"/>
    <w:rsid w:val="70EB02B8"/>
    <w:rsid w:val="70EE1B56"/>
    <w:rsid w:val="71681909"/>
    <w:rsid w:val="71883D59"/>
    <w:rsid w:val="71C368BB"/>
    <w:rsid w:val="71C61903"/>
    <w:rsid w:val="71EC253A"/>
    <w:rsid w:val="71FC60B5"/>
    <w:rsid w:val="72000BD3"/>
    <w:rsid w:val="72007D93"/>
    <w:rsid w:val="72062ED0"/>
    <w:rsid w:val="722021E3"/>
    <w:rsid w:val="72282783"/>
    <w:rsid w:val="723B526F"/>
    <w:rsid w:val="725674BA"/>
    <w:rsid w:val="72640322"/>
    <w:rsid w:val="727E292B"/>
    <w:rsid w:val="728239D7"/>
    <w:rsid w:val="728269FA"/>
    <w:rsid w:val="72FE4207"/>
    <w:rsid w:val="73441FC3"/>
    <w:rsid w:val="73465C7A"/>
    <w:rsid w:val="73700F48"/>
    <w:rsid w:val="73791F5F"/>
    <w:rsid w:val="739C430F"/>
    <w:rsid w:val="73A45935"/>
    <w:rsid w:val="73A82490"/>
    <w:rsid w:val="73D02F8F"/>
    <w:rsid w:val="74515314"/>
    <w:rsid w:val="745A5E80"/>
    <w:rsid w:val="7472484C"/>
    <w:rsid w:val="748F75E6"/>
    <w:rsid w:val="74A06516"/>
    <w:rsid w:val="74F52DD5"/>
    <w:rsid w:val="75153649"/>
    <w:rsid w:val="752060F6"/>
    <w:rsid w:val="75226272"/>
    <w:rsid w:val="75466405"/>
    <w:rsid w:val="757760DE"/>
    <w:rsid w:val="759156D7"/>
    <w:rsid w:val="75AD78D6"/>
    <w:rsid w:val="75D62912"/>
    <w:rsid w:val="76191423"/>
    <w:rsid w:val="76271EBB"/>
    <w:rsid w:val="764A3CD3"/>
    <w:rsid w:val="76CF6EC2"/>
    <w:rsid w:val="76D452AF"/>
    <w:rsid w:val="76D65F74"/>
    <w:rsid w:val="771663AA"/>
    <w:rsid w:val="77253DF8"/>
    <w:rsid w:val="772A7FC0"/>
    <w:rsid w:val="7735228D"/>
    <w:rsid w:val="77505319"/>
    <w:rsid w:val="77550B81"/>
    <w:rsid w:val="77551190"/>
    <w:rsid w:val="77667F2D"/>
    <w:rsid w:val="77764D1B"/>
    <w:rsid w:val="777E3F6F"/>
    <w:rsid w:val="778C0900"/>
    <w:rsid w:val="77931A6B"/>
    <w:rsid w:val="77B43AFA"/>
    <w:rsid w:val="781E0F73"/>
    <w:rsid w:val="78264E47"/>
    <w:rsid w:val="786F7A21"/>
    <w:rsid w:val="787119EB"/>
    <w:rsid w:val="7882305C"/>
    <w:rsid w:val="788567E4"/>
    <w:rsid w:val="78D07F48"/>
    <w:rsid w:val="78DC0A61"/>
    <w:rsid w:val="7904460D"/>
    <w:rsid w:val="795A247F"/>
    <w:rsid w:val="79664D6A"/>
    <w:rsid w:val="79757ED7"/>
    <w:rsid w:val="798B088A"/>
    <w:rsid w:val="798E185E"/>
    <w:rsid w:val="79EF706B"/>
    <w:rsid w:val="7A104C73"/>
    <w:rsid w:val="7A2111EE"/>
    <w:rsid w:val="7A3674E1"/>
    <w:rsid w:val="7A3C7DD6"/>
    <w:rsid w:val="7A4C2D3A"/>
    <w:rsid w:val="7A543372"/>
    <w:rsid w:val="7A6C39F7"/>
    <w:rsid w:val="7A9567A8"/>
    <w:rsid w:val="7AA73F24"/>
    <w:rsid w:val="7AA76304"/>
    <w:rsid w:val="7AE55D78"/>
    <w:rsid w:val="7AFE2790"/>
    <w:rsid w:val="7B160627"/>
    <w:rsid w:val="7B1D5512"/>
    <w:rsid w:val="7B25086A"/>
    <w:rsid w:val="7B451DEC"/>
    <w:rsid w:val="7B561C75"/>
    <w:rsid w:val="7B5A2E5F"/>
    <w:rsid w:val="7B5A48E1"/>
    <w:rsid w:val="7B6018A2"/>
    <w:rsid w:val="7B8C08E9"/>
    <w:rsid w:val="7B915F00"/>
    <w:rsid w:val="7BB2290A"/>
    <w:rsid w:val="7BBA79C1"/>
    <w:rsid w:val="7BC2430B"/>
    <w:rsid w:val="7BC736D0"/>
    <w:rsid w:val="7BDE7397"/>
    <w:rsid w:val="7BF62F10"/>
    <w:rsid w:val="7BF73FB5"/>
    <w:rsid w:val="7C3C7AB4"/>
    <w:rsid w:val="7C7D51F6"/>
    <w:rsid w:val="7C8076EE"/>
    <w:rsid w:val="7C8E611A"/>
    <w:rsid w:val="7CA2085B"/>
    <w:rsid w:val="7D172435"/>
    <w:rsid w:val="7D3C5D3E"/>
    <w:rsid w:val="7D4734C7"/>
    <w:rsid w:val="7D561CFB"/>
    <w:rsid w:val="7DAC0512"/>
    <w:rsid w:val="7DB54128"/>
    <w:rsid w:val="7DCA2AB1"/>
    <w:rsid w:val="7DF7542C"/>
    <w:rsid w:val="7DFF1847"/>
    <w:rsid w:val="7E4D4360"/>
    <w:rsid w:val="7E6E789F"/>
    <w:rsid w:val="7E76515B"/>
    <w:rsid w:val="7E784825"/>
    <w:rsid w:val="7E7C4C45"/>
    <w:rsid w:val="7E81225C"/>
    <w:rsid w:val="7E922B3B"/>
    <w:rsid w:val="7EAB552B"/>
    <w:rsid w:val="7EBA53B5"/>
    <w:rsid w:val="7EE1259E"/>
    <w:rsid w:val="7EFB3DBC"/>
    <w:rsid w:val="7F207CC7"/>
    <w:rsid w:val="7F2350C1"/>
    <w:rsid w:val="7F355B1F"/>
    <w:rsid w:val="7F407B62"/>
    <w:rsid w:val="7F4C2E73"/>
    <w:rsid w:val="7F517E80"/>
    <w:rsid w:val="7F5D5C76"/>
    <w:rsid w:val="7F78540D"/>
    <w:rsid w:val="7F96106F"/>
    <w:rsid w:val="7F9F1475"/>
    <w:rsid w:val="7FD30895"/>
    <w:rsid w:val="7FFD435E"/>
    <w:rsid w:val="7FFD591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outlineLvl w:val="0"/>
    </w:pPr>
    <w:rPr>
      <w:rFonts w:hint="eastAsia" w:ascii="宋体" w:hAnsi="宋体" w:eastAsia="仿宋" w:cs="宋体"/>
      <w:b/>
      <w:bCs/>
      <w:snapToGrid w:val="0"/>
      <w:color w:val="000000"/>
      <w:kern w:val="44"/>
      <w:sz w:val="28"/>
      <w:szCs w:val="48"/>
      <w:lang w:val="en-US" w:eastAsia="zh-CN" w:bidi="ar"/>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numPr>
        <w:ilvl w:val="3"/>
        <w:numId w:val="1"/>
      </w:numPr>
      <w:spacing w:before="200" w:after="0"/>
      <w:outlineLvl w:val="3"/>
    </w:pPr>
    <w:rPr>
      <w:rFonts w:ascii="Calibri Light" w:hAnsi="Calibri Light" w:eastAsia="宋体" w:cs="Times New Roman"/>
      <w:b/>
      <w:bCs/>
      <w:i/>
      <w:iCs/>
      <w:color w:val="000000"/>
    </w:rPr>
  </w:style>
  <w:style w:type="character" w:default="1" w:styleId="23">
    <w:name w:val="Default Paragraph Font"/>
    <w:semiHidden/>
    <w:qFormat/>
    <w:uiPriority w:val="0"/>
  </w:style>
  <w:style w:type="table" w:default="1" w:styleId="26">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kern w:val="0"/>
      <w:sz w:val="18"/>
      <w:szCs w:val="20"/>
    </w:rPr>
  </w:style>
  <w:style w:type="paragraph" w:styleId="6">
    <w:name w:val="Body Text First Indent"/>
    <w:basedOn w:val="7"/>
    <w:next w:val="1"/>
    <w:qFormat/>
    <w:uiPriority w:val="0"/>
    <w:pPr>
      <w:spacing w:line="360" w:lineRule="auto"/>
      <w:ind w:firstLine="600" w:firstLineChars="200"/>
    </w:pPr>
    <w:rPr>
      <w:rFonts w:ascii="宋体" w:hAnsi="宋体"/>
    </w:rPr>
  </w:style>
  <w:style w:type="paragraph" w:styleId="7">
    <w:name w:val="Body Text"/>
    <w:basedOn w:val="1"/>
    <w:next w:val="8"/>
    <w:qFormat/>
    <w:uiPriority w:val="0"/>
    <w:pPr>
      <w:widowControl/>
      <w:snapToGrid w:val="0"/>
      <w:spacing w:before="60" w:after="160" w:line="259" w:lineRule="auto"/>
      <w:ind w:right="113"/>
    </w:pPr>
    <w:rPr>
      <w:kern w:val="0"/>
      <w:sz w:val="18"/>
      <w:szCs w:val="20"/>
    </w:rPr>
  </w:style>
  <w:style w:type="paragraph" w:customStyle="1" w:styleId="8">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9">
    <w:name w:val="Normal Indent"/>
    <w:basedOn w:val="1"/>
    <w:qFormat/>
    <w:uiPriority w:val="0"/>
    <w:pPr>
      <w:ind w:firstLine="420" w:firstLineChars="200"/>
    </w:pPr>
    <w:rPr>
      <w:szCs w:val="20"/>
    </w:rPr>
  </w:style>
  <w:style w:type="paragraph" w:styleId="10">
    <w:name w:val="Document Map"/>
    <w:basedOn w:val="1"/>
    <w:qFormat/>
    <w:uiPriority w:val="0"/>
    <w:pPr>
      <w:shd w:val="clear" w:color="auto" w:fill="000080"/>
    </w:pPr>
  </w:style>
  <w:style w:type="paragraph" w:styleId="11">
    <w:name w:val="toa heading"/>
    <w:basedOn w:val="1"/>
    <w:next w:val="1"/>
    <w:unhideWhenUsed/>
    <w:qFormat/>
    <w:uiPriority w:val="99"/>
    <w:pPr>
      <w:spacing w:before="120"/>
    </w:pPr>
    <w:rPr>
      <w:rFonts w:ascii="Cambria" w:hAnsi="Cambria" w:eastAsia="宋体" w:cs="Times New Roman"/>
      <w:sz w:val="24"/>
      <w:szCs w:val="24"/>
    </w:rPr>
  </w:style>
  <w:style w:type="paragraph" w:styleId="12">
    <w:name w:val="annotation text"/>
    <w:basedOn w:val="1"/>
    <w:semiHidden/>
    <w:qFormat/>
    <w:uiPriority w:val="0"/>
    <w:pPr>
      <w:jc w:val="left"/>
    </w:pPr>
    <w:rPr>
      <w:kern w:val="0"/>
      <w:sz w:val="24"/>
      <w:szCs w:val="20"/>
    </w:rPr>
  </w:style>
  <w:style w:type="paragraph" w:styleId="13">
    <w:name w:val="Salutation"/>
    <w:basedOn w:val="1"/>
    <w:next w:val="1"/>
    <w:qFormat/>
    <w:uiPriority w:val="0"/>
  </w:style>
  <w:style w:type="paragraph" w:styleId="14">
    <w:name w:val="Body Text Indent"/>
    <w:basedOn w:val="1"/>
    <w:next w:val="15"/>
    <w:qFormat/>
    <w:uiPriority w:val="0"/>
    <w:pPr>
      <w:spacing w:after="120"/>
      <w:ind w:left="420" w:leftChars="200"/>
    </w:pPr>
    <w:rPr>
      <w:kern w:val="0"/>
      <w:sz w:val="24"/>
      <w:szCs w:val="20"/>
    </w:rPr>
  </w:style>
  <w:style w:type="paragraph" w:customStyle="1" w:styleId="15">
    <w:name w:val="样式 正文文本缩进 + 行距: 1.5 倍行距"/>
    <w:basedOn w:val="14"/>
    <w:qFormat/>
    <w:uiPriority w:val="0"/>
    <w:pPr>
      <w:spacing w:after="120" w:line="360" w:lineRule="auto"/>
      <w:ind w:left="90" w:leftChars="32" w:firstLine="560" w:firstLineChars="200"/>
    </w:pPr>
    <w:rPr>
      <w:rFonts w:cs="宋体"/>
      <w:sz w:val="24"/>
    </w:rPr>
  </w:style>
  <w:style w:type="paragraph" w:styleId="16">
    <w:name w:val="Plain Text"/>
    <w:basedOn w:val="1"/>
    <w:next w:val="13"/>
    <w:qFormat/>
    <w:uiPriority w:val="0"/>
    <w:rPr>
      <w:rFonts w:ascii="宋体" w:hAnsi="Courier New" w:cs="Courier New"/>
      <w:szCs w:val="21"/>
    </w:rPr>
  </w:style>
  <w:style w:type="paragraph" w:styleId="17">
    <w:name w:val="footer"/>
    <w:basedOn w:val="1"/>
    <w:qFormat/>
    <w:uiPriority w:val="99"/>
    <w:pPr>
      <w:tabs>
        <w:tab w:val="center" w:pos="4153"/>
        <w:tab w:val="right" w:pos="8306"/>
      </w:tabs>
      <w:snapToGrid w:val="0"/>
      <w:jc w:val="left"/>
    </w:pPr>
    <w:rPr>
      <w:kern w:val="0"/>
      <w:sz w:val="18"/>
      <w:szCs w:val="20"/>
    </w:rPr>
  </w:style>
  <w:style w:type="paragraph" w:styleId="18">
    <w:name w:val="Body Text First Indent 2"/>
    <w:basedOn w:val="14"/>
    <w:next w:val="6"/>
    <w:qFormat/>
    <w:uiPriority w:val="0"/>
    <w:pPr>
      <w:spacing w:beforeLines="0" w:afterLines="0"/>
      <w:ind w:firstLine="420" w:firstLineChars="200"/>
    </w:pPr>
    <w:rPr>
      <w:rFonts w:hint="eastAsia"/>
      <w:sz w:val="24"/>
    </w:rPr>
  </w:style>
  <w:style w:type="paragraph" w:styleId="19">
    <w:name w:val="toc 1"/>
    <w:basedOn w:val="1"/>
    <w:next w:val="1"/>
    <w:qFormat/>
    <w:uiPriority w:val="0"/>
  </w:style>
  <w:style w:type="paragraph" w:styleId="20">
    <w:name w:val="Body Text Indent 3"/>
    <w:basedOn w:val="1"/>
    <w:qFormat/>
    <w:uiPriority w:val="0"/>
    <w:pPr>
      <w:adjustRightInd w:val="0"/>
      <w:spacing w:after="120" w:afterLines="0"/>
      <w:ind w:left="420" w:leftChars="200"/>
      <w:jc w:val="left"/>
      <w:textAlignment w:val="baseline"/>
    </w:pPr>
    <w:rPr>
      <w:sz w:val="16"/>
      <w:szCs w:val="16"/>
    </w:rPr>
  </w:style>
  <w:style w:type="paragraph" w:styleId="21">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22">
    <w:name w:val="Title"/>
    <w:basedOn w:val="1"/>
    <w:next w:val="1"/>
    <w:qFormat/>
    <w:uiPriority w:val="0"/>
    <w:pPr>
      <w:ind w:firstLine="0" w:firstLineChars="0"/>
      <w:outlineLvl w:val="0"/>
    </w:pPr>
    <w:rPr>
      <w:b/>
      <w:bCs/>
      <w:sz w:val="32"/>
      <w:szCs w:val="32"/>
    </w:rPr>
  </w:style>
  <w:style w:type="character" w:styleId="24">
    <w:name w:val="page number"/>
    <w:basedOn w:val="23"/>
    <w:qFormat/>
    <w:uiPriority w:val="0"/>
  </w:style>
  <w:style w:type="character" w:styleId="25">
    <w:name w:val="annotation reference"/>
    <w:semiHidden/>
    <w:qFormat/>
    <w:uiPriority w:val="0"/>
    <w:rPr>
      <w:sz w:val="21"/>
    </w:rPr>
  </w:style>
  <w:style w:type="table" w:styleId="27">
    <w:name w:val="Table Grid"/>
    <w:basedOn w:val="26"/>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
    <w:name w:val="样式 标题 1 + 四号 段前: 0 磅 段后: 0 磅 行距: 1.5 倍行距"/>
    <w:basedOn w:val="29"/>
    <w:next w:val="30"/>
    <w:qFormat/>
    <w:uiPriority w:val="0"/>
    <w:pPr>
      <w:spacing w:line="360" w:lineRule="auto"/>
      <w:jc w:val="center"/>
    </w:pPr>
  </w:style>
  <w:style w:type="paragraph" w:customStyle="1" w:styleId="29">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30">
    <w:name w:val="文本正文"/>
    <w:basedOn w:val="1"/>
    <w:qFormat/>
    <w:uiPriority w:val="0"/>
    <w:pPr>
      <w:snapToGrid w:val="0"/>
      <w:spacing w:line="360" w:lineRule="auto"/>
      <w:ind w:firstLine="510"/>
      <w:jc w:val="left"/>
    </w:pPr>
    <w:rPr>
      <w:spacing w:val="4"/>
      <w:kern w:val="24"/>
      <w:szCs w:val="24"/>
      <w:lang w:val="zh-CN"/>
    </w:rPr>
  </w:style>
  <w:style w:type="paragraph" w:customStyle="1" w:styleId="31">
    <w:name w:val="Default"/>
    <w:next w:val="32"/>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2">
    <w:name w:val="标题4"/>
    <w:basedOn w:val="5"/>
    <w:next w:val="33"/>
    <w:qFormat/>
    <w:uiPriority w:val="0"/>
    <w:pPr>
      <w:spacing w:line="240" w:lineRule="auto"/>
    </w:pPr>
    <w:rPr>
      <w:rFonts w:ascii="Arial" w:hAnsi="Arial"/>
    </w:rPr>
  </w:style>
  <w:style w:type="paragraph" w:customStyle="1" w:styleId="33">
    <w:name w:val="Char1"/>
    <w:basedOn w:val="1"/>
    <w:next w:val="34"/>
    <w:qFormat/>
    <w:uiPriority w:val="0"/>
    <w:pPr>
      <w:spacing w:line="240" w:lineRule="auto"/>
      <w:ind w:firstLine="0" w:firstLineChars="0"/>
    </w:pPr>
    <w:rPr>
      <w:rFonts w:eastAsia="宋体" w:cs="Times New Roman"/>
      <w:sz w:val="21"/>
      <w:szCs w:val="24"/>
    </w:rPr>
  </w:style>
  <w:style w:type="paragraph" w:customStyle="1" w:styleId="34">
    <w:name w:val="Char"/>
    <w:basedOn w:val="10"/>
    <w:next w:val="35"/>
    <w:qFormat/>
    <w:uiPriority w:val="0"/>
    <w:rPr>
      <w:rFonts w:eastAsia="宋体" w:cs="Times New Roman"/>
      <w:szCs w:val="24"/>
    </w:rPr>
  </w:style>
  <w:style w:type="paragraph" w:customStyle="1" w:styleId="35">
    <w:name w:val="首行缩进加粗"/>
    <w:basedOn w:val="1"/>
    <w:next w:val="36"/>
    <w:qFormat/>
    <w:uiPriority w:val="0"/>
    <w:pPr>
      <w:widowControl w:val="0"/>
      <w:autoSpaceDE/>
      <w:autoSpaceDN/>
      <w:spacing w:before="0" w:after="0" w:line="360" w:lineRule="auto"/>
      <w:ind w:left="482" w:firstLine="4834"/>
      <w:jc w:val="both"/>
    </w:pPr>
    <w:rPr>
      <w:rFonts w:ascii="宋体"/>
    </w:rPr>
  </w:style>
  <w:style w:type="paragraph" w:customStyle="1" w:styleId="36">
    <w:name w:val="四级条标题"/>
    <w:basedOn w:val="37"/>
    <w:next w:val="4"/>
    <w:qFormat/>
    <w:uiPriority w:val="0"/>
    <w:pPr>
      <w:widowControl/>
      <w:autoSpaceDE/>
      <w:autoSpaceDN/>
      <w:spacing w:before="50" w:after="50" w:line="240" w:lineRule="auto"/>
      <w:ind w:left="1080" w:firstLine="14"/>
      <w:outlineLvl w:val="5"/>
    </w:pPr>
  </w:style>
  <w:style w:type="paragraph" w:customStyle="1" w:styleId="37">
    <w:name w:val="三级条标题"/>
    <w:basedOn w:val="38"/>
    <w:next w:val="1"/>
    <w:qFormat/>
    <w:uiPriority w:val="0"/>
    <w:pPr>
      <w:numPr>
        <w:ilvl w:val="4"/>
        <w:numId w:val="2"/>
      </w:numPr>
      <w:spacing w:before="0" w:beforeLines="0" w:after="0" w:afterLines="0"/>
      <w:ind w:left="945"/>
      <w:jc w:val="both"/>
      <w:outlineLvl w:val="4"/>
    </w:pPr>
    <w:rPr>
      <w:rFonts w:ascii="黑体" w:hAnsi="Calibri" w:eastAsia="黑体" w:cs="Times New Roman"/>
      <w:sz w:val="21"/>
      <w:lang w:val="en-US" w:eastAsia="zh-CN" w:bidi="ar-SA"/>
    </w:rPr>
  </w:style>
  <w:style w:type="paragraph" w:customStyle="1" w:styleId="38">
    <w:name w:val="二级条标题"/>
    <w:basedOn w:val="39"/>
    <w:next w:val="1"/>
    <w:qFormat/>
    <w:uiPriority w:val="0"/>
    <w:pPr>
      <w:spacing w:before="0" w:beforeLines="0" w:after="0" w:afterLines="0"/>
      <w:ind w:left="945"/>
      <w:jc w:val="both"/>
      <w:outlineLvl w:val="3"/>
    </w:pPr>
    <w:rPr>
      <w:rFonts w:ascii="黑体" w:hAnsi="Calibri" w:eastAsia="黑体" w:cs="Times New Roman"/>
      <w:sz w:val="21"/>
      <w:lang w:val="en-US" w:eastAsia="zh-CN" w:bidi="ar-SA"/>
    </w:rPr>
  </w:style>
  <w:style w:type="paragraph" w:customStyle="1" w:styleId="39">
    <w:name w:val="一级条标题"/>
    <w:basedOn w:val="40"/>
    <w:next w:val="1"/>
    <w:qFormat/>
    <w:uiPriority w:val="0"/>
    <w:pPr>
      <w:spacing w:before="0" w:beforeLines="0" w:after="0" w:afterLines="0"/>
      <w:jc w:val="both"/>
      <w:outlineLvl w:val="2"/>
    </w:pPr>
    <w:rPr>
      <w:rFonts w:ascii="黑体" w:hAnsi="Calibri" w:eastAsia="黑体" w:cs="Times New Roman"/>
      <w:sz w:val="21"/>
      <w:lang w:val="en-US" w:eastAsia="zh-CN" w:bidi="ar-SA"/>
    </w:rPr>
  </w:style>
  <w:style w:type="paragraph" w:customStyle="1" w:styleId="40">
    <w:name w:val="章标题"/>
    <w:next w:val="1"/>
    <w:qFormat/>
    <w:uiPriority w:val="0"/>
    <w:pPr>
      <w:spacing w:before="156" w:beforeLines="50" w:after="156" w:afterLines="50"/>
      <w:jc w:val="both"/>
      <w:outlineLvl w:val="1"/>
    </w:pPr>
    <w:rPr>
      <w:rFonts w:ascii="黑体" w:hAnsi="Calibri" w:eastAsia="黑体" w:cs="Times New Roman"/>
      <w:sz w:val="21"/>
      <w:lang w:val="en-US" w:eastAsia="zh-CN" w:bidi="ar-SA"/>
    </w:rPr>
  </w:style>
  <w:style w:type="paragraph" w:customStyle="1" w:styleId="41">
    <w:name w:val="WPSOffice手动目录 1"/>
    <w:qFormat/>
    <w:uiPriority w:val="0"/>
    <w:pPr>
      <w:ind w:leftChars="0"/>
    </w:pPr>
    <w:rPr>
      <w:rFonts w:ascii="Times New Roman" w:hAnsi="Times New Roman" w:eastAsia="宋体" w:cs="Times New Roman"/>
      <w:sz w:val="20"/>
      <w:szCs w:val="20"/>
    </w:rPr>
  </w:style>
  <w:style w:type="paragraph" w:customStyle="1" w:styleId="42">
    <w:name w:val="表头"/>
    <w:basedOn w:val="43"/>
    <w:next w:val="1"/>
    <w:qFormat/>
    <w:uiPriority w:val="0"/>
    <w:pPr>
      <w:adjustRightInd w:val="0"/>
      <w:snapToGrid w:val="0"/>
      <w:spacing w:beforeLines="25" w:line="360" w:lineRule="auto"/>
      <w:ind w:firstLine="200" w:firstLineChars="200"/>
      <w:jc w:val="center"/>
      <w:textAlignment w:val="baseline"/>
    </w:pPr>
    <w:rPr>
      <w:rFonts w:hAnsi="宋体" w:eastAsia="仿宋_GB2312"/>
      <w:b/>
      <w:kern w:val="0"/>
      <w:sz w:val="28"/>
      <w:szCs w:val="28"/>
    </w:rPr>
  </w:style>
  <w:style w:type="paragraph" w:customStyle="1" w:styleId="43">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44">
    <w:name w:val="表格"/>
    <w:basedOn w:val="9"/>
    <w:next w:val="1"/>
    <w:qFormat/>
    <w:uiPriority w:val="0"/>
    <w:pPr>
      <w:adjustRightInd w:val="0"/>
      <w:snapToGrid w:val="0"/>
      <w:spacing w:beforeLines="10" w:afterLines="10" w:line="259" w:lineRule="auto"/>
      <w:jc w:val="center"/>
    </w:pPr>
    <w:rPr>
      <w:rFonts w:ascii="宋体"/>
      <w:kern w:val="0"/>
      <w:szCs w:val="20"/>
    </w:rPr>
  </w:style>
  <w:style w:type="paragraph" w:customStyle="1" w:styleId="45">
    <w:name w:val="1正文"/>
    <w:qFormat/>
    <w:uiPriority w:val="0"/>
    <w:pPr>
      <w:snapToGrid w:val="0"/>
      <w:spacing w:line="360" w:lineRule="auto"/>
      <w:ind w:firstLine="200" w:firstLineChars="200"/>
      <w:jc w:val="both"/>
    </w:pPr>
    <w:rPr>
      <w:rFonts w:ascii="Tms Rmn" w:hAnsi="Tms Rmn" w:eastAsia="華康中楷體" w:cs="??"/>
      <w:kern w:val="2"/>
      <w:sz w:val="24"/>
      <w:szCs w:val="24"/>
      <w:lang w:val="en-US" w:eastAsia="zh-CN" w:bidi="ar-SA"/>
    </w:rPr>
  </w:style>
  <w:style w:type="paragraph" w:customStyle="1" w:styleId="46">
    <w:name w:val="111正文"/>
    <w:basedOn w:val="1"/>
    <w:qFormat/>
    <w:uiPriority w:val="99"/>
    <w:pPr>
      <w:tabs>
        <w:tab w:val="left" w:pos="600"/>
      </w:tabs>
    </w:pPr>
    <w:rPr>
      <w:rFonts w:ascii="Calibri" w:hAnsi="Calibri"/>
      <w:szCs w:val="22"/>
      <w:lang w:val="zh-CN"/>
    </w:rPr>
  </w:style>
  <w:style w:type="paragraph" w:customStyle="1" w:styleId="47">
    <w:name w:val="Table Paragraph"/>
    <w:basedOn w:val="1"/>
    <w:qFormat/>
    <w:uiPriority w:val="1"/>
    <w:pPr>
      <w:spacing w:before="7"/>
      <w:jc w:val="center"/>
    </w:pPr>
    <w:rPr>
      <w:rFonts w:ascii="宋体" w:hAnsi="宋体" w:cs="宋体"/>
      <w:lang w:val="zh-CN" w:bidi="zh-CN"/>
    </w:rPr>
  </w:style>
  <w:style w:type="paragraph" w:customStyle="1" w:styleId="48">
    <w:name w:val="Quote"/>
    <w:basedOn w:val="1"/>
    <w:next w:val="1"/>
    <w:qFormat/>
    <w:uiPriority w:val="29"/>
    <w:pPr>
      <w:adjustRightInd w:val="0"/>
      <w:snapToGrid w:val="0"/>
      <w:jc w:val="center"/>
    </w:pPr>
    <w:rPr>
      <w:rFonts w:ascii="Times New Roman" w:hAnsi="Times New Roman" w:cs="Times New Roman"/>
      <w:iCs/>
      <w:color w:val="000000"/>
      <w:szCs w:val="20"/>
    </w:rPr>
  </w:style>
  <w:style w:type="paragraph" w:customStyle="1" w:styleId="49">
    <w:name w:val="样式 表中文字 + 小四"/>
    <w:basedOn w:val="1"/>
    <w:qFormat/>
    <w:uiPriority w:val="0"/>
    <w:pPr>
      <w:widowControl/>
      <w:jc w:val="center"/>
    </w:pPr>
    <w:rPr>
      <w:rFonts w:ascii="宋体" w:hAnsi="宋体" w:cs="宋体"/>
      <w:kern w:val="0"/>
      <w:szCs w:val="21"/>
    </w:rPr>
  </w:style>
  <w:style w:type="paragraph" w:customStyle="1" w:styleId="50">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1">
    <w:name w:val="font31"/>
    <w:basedOn w:val="23"/>
    <w:qFormat/>
    <w:uiPriority w:val="0"/>
    <w:rPr>
      <w:rFonts w:hint="eastAsia" w:ascii="宋体" w:hAnsi="宋体" w:eastAsia="宋体" w:cs="宋体"/>
      <w:color w:val="000000"/>
      <w:sz w:val="24"/>
      <w:szCs w:val="24"/>
      <w:u w:val="none"/>
    </w:rPr>
  </w:style>
  <w:style w:type="character" w:customStyle="1" w:styleId="52">
    <w:name w:val="font21"/>
    <w:basedOn w:val="23"/>
    <w:qFormat/>
    <w:uiPriority w:val="0"/>
    <w:rPr>
      <w:rFonts w:hint="default" w:ascii="方正仿宋_GBK" w:hAnsi="方正仿宋_GBK" w:eastAsia="方正仿宋_GBK" w:cs="方正仿宋_GBK"/>
      <w:color w:val="000000"/>
      <w:sz w:val="24"/>
      <w:szCs w:val="24"/>
      <w:u w:val="none"/>
    </w:rPr>
  </w:style>
  <w:style w:type="paragraph" w:customStyle="1" w:styleId="53">
    <w:name w:val="表体"/>
    <w:basedOn w:val="1"/>
    <w:qFormat/>
    <w:uiPriority w:val="0"/>
    <w:pPr>
      <w:widowControl/>
      <w:tabs>
        <w:tab w:val="left" w:pos="540"/>
        <w:tab w:val="left" w:pos="851"/>
        <w:tab w:val="left" w:pos="994"/>
        <w:tab w:val="left" w:pos="1260"/>
        <w:tab w:val="left" w:pos="3108"/>
        <w:tab w:val="left" w:pos="3150"/>
      </w:tabs>
      <w:overflowPunct w:val="0"/>
      <w:adjustRightInd w:val="0"/>
      <w:spacing w:line="340" w:lineRule="exact"/>
      <w:jc w:val="center"/>
      <w:textAlignment w:val="baseline"/>
    </w:pPr>
    <w:rPr>
      <w:bCs/>
      <w:snapToGrid w:val="0"/>
      <w:color w:val="000000"/>
      <w:kern w:val="32"/>
      <w:szCs w:val="2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54950</Words>
  <Characters>61352</Characters>
  <Lines>0</Lines>
  <Paragraphs>0</Paragraphs>
  <TotalTime>0</TotalTime>
  <ScaleCrop>false</ScaleCrop>
  <LinksUpToDate>false</LinksUpToDate>
  <CharactersWithSpaces>61725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2022-11-17T02:15:00Z</dcterms:created>
  <dc:creator>62402</dc:creator>
  <cp:lastModifiedBy>Lenovo</cp:lastModifiedBy>
  <dcterms:modified xsi:type="dcterms:W3CDTF">2024-03-22T09:33:24Z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094EC5AD98344AED975281CD7D2B6312</vt:lpwstr>
  </property>
</Properties>
</file>