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ind w:firstLine="640"/>
        <w:jc w:val="left"/>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spacing w:before="240" w:after="60"/>
        <w:ind w:firstLine="0" w:firstLineChars="0"/>
        <w:jc w:val="center"/>
        <w:rPr>
          <w:rFonts w:ascii="方正小标宋_GBK" w:hAnsi="方正小标宋_GBK" w:eastAsia="方正小标宋_GBK" w:cs="方正小标宋_GBK"/>
          <w:b/>
          <w:bCs/>
          <w:color w:val="auto"/>
          <w:sz w:val="44"/>
          <w:szCs w:val="32"/>
        </w:rPr>
      </w:pPr>
      <w:r>
        <w:rPr>
          <w:rFonts w:hint="eastAsia" w:ascii="方正小标宋_GBK" w:hAnsi="方正小标宋_GBK" w:eastAsia="方正小标宋_GBK" w:cs="方正小标宋_GBK"/>
          <w:b/>
          <w:bCs/>
          <w:color w:val="auto"/>
          <w:sz w:val="44"/>
          <w:szCs w:val="32"/>
        </w:rPr>
        <w:t>西 双 版 纳 傣 族 自 治 州 勐 海 县</w:t>
      </w:r>
    </w:p>
    <w:p>
      <w:pPr>
        <w:widowControl w:val="0"/>
        <w:spacing w:before="240" w:after="60"/>
        <w:ind w:firstLine="0" w:firstLineChars="0"/>
        <w:jc w:val="center"/>
        <w:rPr>
          <w:rFonts w:ascii="方正小标宋_GBK" w:hAnsi="方正小标宋_GBK" w:eastAsia="方正小标宋_GBK" w:cs="方正小标宋_GBK"/>
          <w:b/>
          <w:bCs/>
          <w:color w:val="auto"/>
          <w:sz w:val="44"/>
          <w:szCs w:val="32"/>
        </w:rPr>
      </w:pPr>
      <w:r>
        <w:rPr>
          <w:rFonts w:hint="eastAsia" w:ascii="方正小标宋_GBK" w:hAnsi="方正小标宋_GBK" w:eastAsia="方正小标宋_GBK" w:cs="方正小标宋_GBK"/>
          <w:b/>
          <w:bCs/>
          <w:color w:val="auto"/>
          <w:sz w:val="44"/>
          <w:szCs w:val="32"/>
        </w:rPr>
        <w:t>地质灾害防治规划</w:t>
      </w:r>
    </w:p>
    <w:p>
      <w:pPr>
        <w:widowControl w:val="0"/>
        <w:ind w:firstLine="0" w:firstLineChars="0"/>
        <w:jc w:val="center"/>
        <w:rPr>
          <w:rFonts w:ascii="方正小标宋_GBK" w:hAnsi="方正小标宋_GBK" w:eastAsia="方正小标宋_GBK" w:cs="方正小标宋_GBK"/>
          <w:b/>
          <w:bCs/>
          <w:color w:val="auto"/>
          <w:szCs w:val="32"/>
        </w:rPr>
      </w:pPr>
      <w:r>
        <w:rPr>
          <w:rFonts w:hint="eastAsia" w:ascii="方正小标宋_GBK" w:hAnsi="方正小标宋_GBK" w:eastAsia="方正小标宋_GBK" w:cs="方正小标宋_GBK"/>
          <w:b/>
          <w:bCs/>
          <w:color w:val="auto"/>
          <w:szCs w:val="32"/>
        </w:rPr>
        <w:t>（</w:t>
      </w:r>
      <w:r>
        <w:rPr>
          <w:rFonts w:hint="eastAsia" w:ascii="Times New Roman" w:hAnsi="Times New Roman" w:eastAsia="方正小标宋_GBK" w:cs="方正小标宋_GBK"/>
          <w:b/>
          <w:bCs/>
          <w:color w:val="auto"/>
          <w:szCs w:val="32"/>
        </w:rPr>
        <w:t>2021</w:t>
      </w:r>
      <w:r>
        <w:rPr>
          <w:rFonts w:hint="eastAsia" w:ascii="方正小标宋_GBK" w:hAnsi="方正小标宋_GBK" w:eastAsia="方正小标宋_GBK" w:cs="方正小标宋_GBK"/>
          <w:b/>
          <w:bCs/>
          <w:color w:val="auto"/>
          <w:szCs w:val="32"/>
        </w:rPr>
        <w:t>-</w:t>
      </w:r>
      <w:r>
        <w:rPr>
          <w:rFonts w:hint="eastAsia" w:ascii="Times New Roman" w:hAnsi="Times New Roman" w:eastAsia="方正小标宋_GBK" w:cs="方正小标宋_GBK"/>
          <w:b/>
          <w:bCs/>
          <w:color w:val="auto"/>
          <w:szCs w:val="32"/>
        </w:rPr>
        <w:t>2025</w:t>
      </w:r>
      <w:r>
        <w:rPr>
          <w:rFonts w:hint="eastAsia" w:ascii="方正小标宋_GBK" w:hAnsi="方正小标宋_GBK" w:eastAsia="方正小标宋_GBK" w:cs="方正小标宋_GBK"/>
          <w:b/>
          <w:bCs/>
          <w:color w:val="auto"/>
          <w:szCs w:val="32"/>
        </w:rPr>
        <w:t>年）</w:t>
      </w:r>
    </w:p>
    <w:p>
      <w:pPr>
        <w:pStyle w:val="2"/>
        <w:ind w:firstLine="643"/>
        <w:rPr>
          <w:rFonts w:ascii="方正小标宋_GBK" w:hAnsi="方正小标宋_GBK" w:eastAsia="方正小标宋_GBK" w:cs="方正小标宋_GBK"/>
          <w:b/>
          <w:bCs/>
          <w:color w:val="auto"/>
          <w:szCs w:val="32"/>
        </w:rPr>
      </w:pPr>
    </w:p>
    <w:p>
      <w:pPr>
        <w:pStyle w:val="2"/>
        <w:ind w:firstLine="643"/>
        <w:rPr>
          <w:rFonts w:ascii="方正小标宋_GBK" w:hAnsi="方正小标宋_GBK" w:eastAsia="方正小标宋_GBK" w:cs="方正小标宋_GBK"/>
          <w:b/>
          <w:bCs/>
          <w:color w:val="auto"/>
          <w:szCs w:val="32"/>
        </w:rPr>
      </w:pPr>
    </w:p>
    <w:p>
      <w:pPr>
        <w:pStyle w:val="2"/>
        <w:ind w:firstLine="643"/>
        <w:rPr>
          <w:rFonts w:ascii="方正小标宋_GBK" w:hAnsi="方正小标宋_GBK" w:eastAsia="方正小标宋_GBK" w:cs="方正小标宋_GBK"/>
          <w:b/>
          <w:bCs/>
          <w:color w:val="auto"/>
          <w:szCs w:val="32"/>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0" w:firstLineChars="0"/>
        <w:rPr>
          <w:rFonts w:asciiTheme="minorEastAsia" w:hAnsiTheme="minorEastAsia" w:eastAsiaTheme="minorEastAsia" w:cstheme="minorEastAsia"/>
          <w:color w:val="auto"/>
          <w:szCs w:val="24"/>
        </w:rPr>
      </w:pPr>
    </w:p>
    <w:p>
      <w:pPr>
        <w:widowControl w:val="0"/>
        <w:ind w:firstLine="640"/>
        <w:rPr>
          <w:rFonts w:asciiTheme="minorEastAsia" w:hAnsiTheme="minorEastAsia" w:eastAsiaTheme="minorEastAsia" w:cstheme="minorEastAsia"/>
          <w:color w:val="auto"/>
          <w:szCs w:val="24"/>
        </w:rPr>
      </w:pPr>
    </w:p>
    <w:p>
      <w:pPr>
        <w:widowControl w:val="0"/>
        <w:ind w:firstLine="0" w:firstLineChars="0"/>
        <w:rPr>
          <w:rFonts w:asciiTheme="minorEastAsia" w:hAnsiTheme="minorEastAsia" w:eastAsiaTheme="minorEastAsia" w:cstheme="minorEastAsia"/>
          <w:color w:val="auto"/>
          <w:szCs w:val="24"/>
        </w:rPr>
      </w:pPr>
    </w:p>
    <w:p>
      <w:pPr>
        <w:widowControl w:val="0"/>
        <w:spacing w:before="240" w:after="60"/>
        <w:ind w:firstLine="0" w:firstLineChars="0"/>
        <w:jc w:val="center"/>
        <w:rPr>
          <w:rFonts w:ascii="方正小标宋_GBK" w:hAnsi="方正小标宋_GBK" w:eastAsia="方正小标宋_GBK" w:cs="方正小标宋_GBK"/>
          <w:b/>
          <w:bCs/>
          <w:color w:val="auto"/>
          <w:szCs w:val="32"/>
        </w:rPr>
      </w:pPr>
      <w:r>
        <w:rPr>
          <w:rFonts w:hint="eastAsia" w:ascii="方正小标宋_GBK" w:hAnsi="方正小标宋_GBK" w:eastAsia="方正小标宋_GBK" w:cs="方正小标宋_GBK"/>
          <w:b/>
          <w:bCs/>
          <w:color w:val="auto"/>
          <w:szCs w:val="32"/>
        </w:rPr>
        <w:t>勐海县人民政府</w:t>
      </w:r>
    </w:p>
    <w:p>
      <w:pPr>
        <w:widowControl w:val="0"/>
        <w:spacing w:before="240" w:after="60"/>
        <w:ind w:firstLine="0" w:firstLineChars="0"/>
        <w:jc w:val="center"/>
        <w:rPr>
          <w:rFonts w:ascii="方正小标宋_GBK" w:hAnsi="方正小标宋_GBK" w:eastAsia="方正小标宋_GBK" w:cs="方正小标宋_GBK"/>
          <w:b/>
          <w:bCs/>
          <w:color w:val="auto"/>
          <w:szCs w:val="32"/>
        </w:rPr>
      </w:pPr>
      <w:r>
        <w:rPr>
          <w:rFonts w:hint="eastAsia" w:ascii="方正小标宋_GBK" w:hAnsi="方正小标宋_GBK" w:eastAsia="方正小标宋_GBK" w:cs="方正小标宋_GBK"/>
          <w:b/>
          <w:bCs/>
          <w:color w:val="auto"/>
          <w:szCs w:val="32"/>
        </w:rPr>
        <w:t>二〇二一年</w:t>
      </w:r>
      <w:r>
        <w:rPr>
          <w:rFonts w:hint="eastAsia" w:ascii="宋体" w:hAnsi="宋体" w:eastAsia="宋体" w:cs="宋体"/>
          <w:b/>
          <w:bCs/>
          <w:color w:val="auto"/>
          <w:szCs w:val="32"/>
        </w:rPr>
        <w:t>十一</w:t>
      </w:r>
      <w:r>
        <w:rPr>
          <w:rFonts w:hint="eastAsia" w:ascii="方正小标宋_GBK" w:hAnsi="方正小标宋_GBK" w:eastAsia="方正小标宋_GBK" w:cs="方正小标宋_GBK"/>
          <w:b/>
          <w:bCs/>
          <w:color w:val="auto"/>
          <w:szCs w:val="32"/>
        </w:rPr>
        <w:t>月</w:t>
      </w:r>
    </w:p>
    <w:p>
      <w:pPr>
        <w:ind w:firstLine="640"/>
        <w:rPr>
          <w:rFonts w:asciiTheme="minorEastAsia" w:hAnsiTheme="minorEastAsia" w:eastAsiaTheme="minorEastAsia" w:cstheme="minorEastAsia"/>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1418" w:left="1134" w:header="851" w:footer="992" w:gutter="284"/>
          <w:cols w:space="720" w:num="1"/>
          <w:docGrid w:linePitch="373" w:charSpace="6112"/>
        </w:sectPr>
      </w:pPr>
    </w:p>
    <w:p>
      <w:pPr>
        <w:widowControl w:val="0"/>
        <w:spacing w:before="240" w:after="60"/>
        <w:ind w:firstLine="0" w:firstLineChars="0"/>
        <w:jc w:val="center"/>
        <w:rPr>
          <w:rFonts w:ascii="方正小标宋_GBK" w:hAnsi="方正小标宋_GBK" w:eastAsia="方正小标宋_GBK" w:cs="方正小标宋_GBK"/>
          <w:b/>
          <w:bCs/>
          <w:color w:val="auto"/>
          <w:sz w:val="44"/>
          <w:szCs w:val="32"/>
        </w:rPr>
      </w:pPr>
      <w:r>
        <w:rPr>
          <w:rFonts w:hint="eastAsia" w:ascii="方正小标宋_GBK" w:hAnsi="方正小标宋_GBK" w:eastAsia="方正小标宋_GBK" w:cs="方正小标宋_GBK"/>
          <w:b/>
          <w:bCs/>
          <w:color w:val="auto"/>
          <w:sz w:val="44"/>
          <w:szCs w:val="32"/>
        </w:rPr>
        <w:t>西双版纳傣族自治州勐海县地质灾害防治规划（</w:t>
      </w:r>
      <w:r>
        <w:rPr>
          <w:rFonts w:hint="eastAsia" w:ascii="Times New Roman" w:hAnsi="Times New Roman" w:eastAsia="方正小标宋_GBK" w:cs="方正小标宋_GBK"/>
          <w:b/>
          <w:bCs/>
          <w:color w:val="auto"/>
          <w:sz w:val="44"/>
          <w:szCs w:val="32"/>
        </w:rPr>
        <w:t>2021</w:t>
      </w:r>
      <w:r>
        <w:rPr>
          <w:rFonts w:hint="eastAsia" w:ascii="方正小标宋_GBK" w:hAnsi="方正小标宋_GBK" w:eastAsia="方正小标宋_GBK" w:cs="方正小标宋_GBK"/>
          <w:b/>
          <w:bCs/>
          <w:color w:val="auto"/>
          <w:sz w:val="44"/>
          <w:szCs w:val="32"/>
        </w:rPr>
        <w:t>-</w:t>
      </w:r>
      <w:r>
        <w:rPr>
          <w:rFonts w:hint="eastAsia" w:ascii="Times New Roman" w:hAnsi="Times New Roman" w:eastAsia="方正小标宋_GBK" w:cs="方正小标宋_GBK"/>
          <w:b/>
          <w:bCs/>
          <w:color w:val="auto"/>
          <w:sz w:val="44"/>
          <w:szCs w:val="32"/>
        </w:rPr>
        <w:t>2025</w:t>
      </w:r>
      <w:r>
        <w:rPr>
          <w:rFonts w:hint="eastAsia" w:ascii="方正小标宋_GBK" w:hAnsi="方正小标宋_GBK" w:eastAsia="方正小标宋_GBK" w:cs="方正小标宋_GBK"/>
          <w:b/>
          <w:bCs/>
          <w:color w:val="auto"/>
          <w:sz w:val="44"/>
          <w:szCs w:val="32"/>
        </w:rPr>
        <w:t>年）编委</w:t>
      </w:r>
    </w:p>
    <w:p>
      <w:pPr>
        <w:widowControl w:val="0"/>
        <w:ind w:firstLine="643"/>
        <w:jc w:val="left"/>
        <w:rPr>
          <w:rFonts w:asciiTheme="minorEastAsia" w:hAnsiTheme="minorEastAsia" w:eastAsiaTheme="minorEastAsia" w:cstheme="minorEastAsia"/>
          <w:b/>
          <w:color w:val="auto"/>
          <w:szCs w:val="28"/>
        </w:rPr>
      </w:pPr>
    </w:p>
    <w:p>
      <w:pPr>
        <w:widowControl w:val="0"/>
        <w:spacing w:before="156" w:beforeLines="50"/>
        <w:ind w:firstLine="643"/>
        <w:jc w:val="left"/>
        <w:rPr>
          <w:rFonts w:asciiTheme="minorEastAsia" w:hAnsiTheme="minorEastAsia" w:eastAsiaTheme="minorEastAsia" w:cstheme="minorEastAsia"/>
          <w:b/>
          <w:color w:val="auto"/>
          <w:szCs w:val="32"/>
        </w:rPr>
      </w:pPr>
      <w:r>
        <w:rPr>
          <w:rFonts w:hint="eastAsia" w:asciiTheme="minorEastAsia" w:hAnsiTheme="minorEastAsia" w:eastAsiaTheme="minorEastAsia" w:cstheme="minorEastAsia"/>
          <w:b/>
          <w:color w:val="auto"/>
          <w:szCs w:val="32"/>
        </w:rPr>
        <w:t>主编：</w:t>
      </w:r>
    </w:p>
    <w:p>
      <w:pPr>
        <w:widowControl w:val="0"/>
        <w:spacing w:before="156" w:beforeLines="50"/>
        <w:ind w:firstLine="2520" w:firstLineChars="900"/>
        <w:jc w:val="left"/>
        <w:rPr>
          <w:color w:val="auto"/>
          <w:sz w:val="28"/>
          <w:szCs w:val="24"/>
        </w:rPr>
      </w:pPr>
      <w:r>
        <w:rPr>
          <w:rFonts w:hint="eastAsia"/>
          <w:color w:val="auto"/>
          <w:sz w:val="28"/>
          <w:szCs w:val="24"/>
        </w:rPr>
        <w:t>钢  图  县人民政府副县长</w:t>
      </w:r>
    </w:p>
    <w:p>
      <w:pPr>
        <w:widowControl w:val="0"/>
        <w:spacing w:before="156" w:beforeLines="50"/>
        <w:ind w:firstLine="643"/>
        <w:jc w:val="left"/>
        <w:rPr>
          <w:rFonts w:asciiTheme="minorEastAsia" w:hAnsiTheme="minorEastAsia" w:eastAsiaTheme="minorEastAsia" w:cstheme="minorEastAsia"/>
          <w:color w:val="auto"/>
          <w:szCs w:val="28"/>
        </w:rPr>
      </w:pPr>
      <w:r>
        <w:rPr>
          <w:rFonts w:hint="eastAsia" w:asciiTheme="minorEastAsia" w:hAnsiTheme="minorEastAsia" w:eastAsiaTheme="minorEastAsia" w:cstheme="minorEastAsia"/>
          <w:b/>
          <w:color w:val="auto"/>
          <w:szCs w:val="32"/>
        </w:rPr>
        <w:t>副主编</w:t>
      </w:r>
      <w:r>
        <w:rPr>
          <w:rFonts w:hint="eastAsia" w:asciiTheme="minorEastAsia" w:hAnsiTheme="minorEastAsia" w:eastAsiaTheme="minorEastAsia" w:cstheme="minorEastAsia"/>
          <w:color w:val="auto"/>
          <w:szCs w:val="28"/>
        </w:rPr>
        <w:t>：</w:t>
      </w:r>
    </w:p>
    <w:p>
      <w:pPr>
        <w:widowControl w:val="0"/>
        <w:spacing w:before="156" w:beforeLines="50"/>
        <w:ind w:firstLine="2520" w:firstLineChars="900"/>
        <w:jc w:val="left"/>
        <w:rPr>
          <w:color w:val="auto"/>
          <w:sz w:val="28"/>
          <w:szCs w:val="24"/>
        </w:rPr>
      </w:pPr>
      <w:r>
        <w:rPr>
          <w:rFonts w:hint="eastAsia"/>
          <w:color w:val="auto"/>
          <w:sz w:val="28"/>
          <w:szCs w:val="24"/>
        </w:rPr>
        <w:t>杨如春  县自然资源局局长</w:t>
      </w:r>
    </w:p>
    <w:p>
      <w:pPr>
        <w:widowControl w:val="0"/>
        <w:spacing w:before="156" w:beforeLines="50"/>
        <w:ind w:firstLine="2520" w:firstLineChars="900"/>
        <w:jc w:val="left"/>
        <w:rPr>
          <w:color w:val="auto"/>
          <w:sz w:val="28"/>
          <w:szCs w:val="24"/>
        </w:rPr>
      </w:pPr>
      <w:r>
        <w:rPr>
          <w:rFonts w:hint="eastAsia"/>
          <w:color w:val="auto"/>
          <w:sz w:val="28"/>
          <w:szCs w:val="24"/>
        </w:rPr>
        <w:t>朱月红  县自然资源局副局长</w:t>
      </w:r>
    </w:p>
    <w:p>
      <w:pPr>
        <w:widowControl w:val="0"/>
        <w:spacing w:before="156" w:beforeLines="50"/>
        <w:ind w:firstLine="2520" w:firstLineChars="900"/>
        <w:jc w:val="left"/>
        <w:rPr>
          <w:color w:val="auto"/>
          <w:sz w:val="28"/>
          <w:szCs w:val="24"/>
        </w:rPr>
      </w:pPr>
      <w:r>
        <w:rPr>
          <w:rFonts w:hint="eastAsia"/>
          <w:color w:val="auto"/>
          <w:sz w:val="28"/>
          <w:szCs w:val="24"/>
        </w:rPr>
        <w:t>胡  斌  云南地质工程第二勘察院总工程师</w:t>
      </w:r>
    </w:p>
    <w:p>
      <w:pPr>
        <w:widowControl w:val="0"/>
        <w:spacing w:before="156" w:beforeLines="50"/>
        <w:ind w:firstLine="643"/>
        <w:jc w:val="left"/>
        <w:rPr>
          <w:rFonts w:hint="eastAsia"/>
          <w:color w:val="auto"/>
          <w:sz w:val="28"/>
          <w:szCs w:val="24"/>
        </w:rPr>
      </w:pPr>
      <w:r>
        <w:rPr>
          <w:rFonts w:hint="eastAsia" w:asciiTheme="minorEastAsia" w:hAnsiTheme="minorEastAsia" w:eastAsiaTheme="minorEastAsia" w:cstheme="minorEastAsia"/>
          <w:b/>
          <w:color w:val="auto"/>
          <w:szCs w:val="32"/>
        </w:rPr>
        <w:t>编写人员：</w:t>
      </w:r>
    </w:p>
    <w:p>
      <w:pPr>
        <w:widowControl w:val="0"/>
        <w:ind w:firstLine="560"/>
        <w:jc w:val="left"/>
        <w:rPr>
          <w:rFonts w:hint="eastAsia"/>
          <w:color w:val="auto"/>
          <w:sz w:val="28"/>
          <w:szCs w:val="24"/>
          <w:lang w:val="en-US" w:eastAsia="zh-CN"/>
        </w:rPr>
      </w:pPr>
      <w:r>
        <w:rPr>
          <w:rFonts w:hint="eastAsia"/>
          <w:color w:val="auto"/>
          <w:sz w:val="28"/>
          <w:szCs w:val="24"/>
          <w:lang w:val="en-US" w:eastAsia="zh-CN"/>
        </w:rPr>
        <w:t xml:space="preserve">岩罕丙  </w:t>
      </w:r>
      <w:r>
        <w:rPr>
          <w:rFonts w:hint="eastAsia"/>
          <w:color w:val="auto"/>
          <w:sz w:val="28"/>
          <w:szCs w:val="24"/>
        </w:rPr>
        <w:t>县自然资源局</w:t>
      </w:r>
      <w:r>
        <w:rPr>
          <w:rFonts w:hint="eastAsia"/>
          <w:color w:val="auto"/>
          <w:sz w:val="28"/>
          <w:szCs w:val="24"/>
          <w:lang w:val="en-US" w:eastAsia="zh-CN"/>
        </w:rPr>
        <w:t>土地整治中心主任</w:t>
      </w:r>
    </w:p>
    <w:p>
      <w:pPr>
        <w:widowControl w:val="0"/>
        <w:ind w:firstLine="560"/>
        <w:jc w:val="left"/>
        <w:rPr>
          <w:rFonts w:hint="eastAsia"/>
          <w:color w:val="auto"/>
          <w:sz w:val="28"/>
          <w:szCs w:val="24"/>
        </w:rPr>
      </w:pPr>
      <w:r>
        <w:rPr>
          <w:rFonts w:hint="eastAsia"/>
          <w:color w:val="auto"/>
          <w:sz w:val="28"/>
          <w:szCs w:val="24"/>
        </w:rPr>
        <w:t>岩  宝  县自然资源局耕地保护监督股工作人员</w:t>
      </w:r>
    </w:p>
    <w:p>
      <w:pPr>
        <w:widowControl w:val="0"/>
        <w:ind w:firstLine="560"/>
        <w:jc w:val="left"/>
        <w:rPr>
          <w:rFonts w:hint="eastAsia"/>
          <w:color w:val="auto"/>
          <w:sz w:val="28"/>
          <w:szCs w:val="24"/>
          <w:lang w:val="en-US" w:eastAsia="zh-CN"/>
        </w:rPr>
      </w:pPr>
      <w:r>
        <w:rPr>
          <w:rFonts w:hint="eastAsia"/>
          <w:color w:val="auto"/>
          <w:sz w:val="28"/>
          <w:szCs w:val="24"/>
          <w:lang w:val="en-US" w:eastAsia="zh-CN"/>
        </w:rPr>
        <w:t xml:space="preserve">谢伟宏  </w:t>
      </w:r>
      <w:r>
        <w:rPr>
          <w:rFonts w:hint="eastAsia"/>
          <w:color w:val="auto"/>
          <w:sz w:val="28"/>
          <w:szCs w:val="24"/>
        </w:rPr>
        <w:t>县自然资源局</w:t>
      </w:r>
      <w:r>
        <w:rPr>
          <w:rFonts w:hint="eastAsia"/>
          <w:color w:val="auto"/>
          <w:sz w:val="28"/>
          <w:szCs w:val="24"/>
          <w:lang w:val="en-US" w:eastAsia="zh-CN"/>
        </w:rPr>
        <w:t>助理工程师</w:t>
      </w:r>
    </w:p>
    <w:p>
      <w:pPr>
        <w:widowControl w:val="0"/>
        <w:ind w:firstLine="560"/>
        <w:jc w:val="left"/>
        <w:rPr>
          <w:rFonts w:hint="eastAsia"/>
          <w:color w:val="auto"/>
          <w:sz w:val="28"/>
          <w:szCs w:val="24"/>
        </w:rPr>
      </w:pPr>
      <w:r>
        <w:rPr>
          <w:rFonts w:hint="eastAsia"/>
          <w:color w:val="auto"/>
          <w:sz w:val="28"/>
          <w:szCs w:val="24"/>
        </w:rPr>
        <w:t>杨  鸿  云南地质工程第二勘察院滇南分院院长</w:t>
      </w:r>
    </w:p>
    <w:p>
      <w:pPr>
        <w:widowControl w:val="0"/>
        <w:ind w:firstLine="560"/>
        <w:jc w:val="left"/>
        <w:rPr>
          <w:color w:val="auto"/>
          <w:sz w:val="28"/>
          <w:szCs w:val="24"/>
        </w:rPr>
      </w:pPr>
      <w:r>
        <w:rPr>
          <w:rFonts w:hint="eastAsia"/>
          <w:color w:val="auto"/>
          <w:sz w:val="28"/>
          <w:szCs w:val="24"/>
        </w:rPr>
        <w:t>夏时勇  云南地质工程第二勘察院滇南分院总工程师</w:t>
      </w:r>
    </w:p>
    <w:p>
      <w:pPr>
        <w:widowControl w:val="0"/>
        <w:ind w:firstLine="560"/>
        <w:jc w:val="left"/>
        <w:rPr>
          <w:color w:val="auto"/>
          <w:sz w:val="28"/>
          <w:szCs w:val="24"/>
        </w:rPr>
      </w:pPr>
      <w:r>
        <w:rPr>
          <w:rFonts w:hint="eastAsia"/>
          <w:color w:val="auto"/>
          <w:sz w:val="28"/>
          <w:szCs w:val="24"/>
        </w:rPr>
        <w:t>余  超  云南地质工程第二勘察院滇南分院副总工程师</w:t>
      </w:r>
    </w:p>
    <w:p>
      <w:pPr>
        <w:widowControl w:val="0"/>
        <w:ind w:firstLine="560"/>
        <w:jc w:val="left"/>
        <w:rPr>
          <w:rFonts w:hint="eastAsia"/>
          <w:color w:val="auto"/>
          <w:sz w:val="28"/>
          <w:szCs w:val="24"/>
        </w:rPr>
      </w:pPr>
      <w:r>
        <w:rPr>
          <w:rFonts w:hint="eastAsia"/>
          <w:color w:val="auto"/>
          <w:sz w:val="28"/>
          <w:szCs w:val="24"/>
        </w:rPr>
        <w:t>代建鹏  云南地质工程第二勘察院滇南分院项目负责</w:t>
      </w:r>
    </w:p>
    <w:p>
      <w:pPr>
        <w:pStyle w:val="2"/>
        <w:rPr>
          <w:rFonts w:hint="eastAsia" w:eastAsia="方正仿宋_GBK" w:cs="Times New Roman"/>
          <w:color w:val="auto"/>
          <w:kern w:val="2"/>
          <w:sz w:val="28"/>
          <w:szCs w:val="24"/>
          <w:lang w:val="en-US" w:eastAsia="zh-CN" w:bidi="ar-SA"/>
        </w:rPr>
      </w:pPr>
      <w:r>
        <w:rPr>
          <w:rFonts w:hint="eastAsia" w:ascii="仿宋_GB2312" w:hAnsi="仿宋_GB2312" w:eastAsia="方正仿宋_GBK" w:cs="Times New Roman"/>
          <w:color w:val="auto"/>
          <w:kern w:val="2"/>
          <w:sz w:val="28"/>
          <w:szCs w:val="24"/>
          <w:lang w:val="en-US" w:eastAsia="zh-CN" w:bidi="ar-SA"/>
        </w:rPr>
        <w:t xml:space="preserve">杨家贵 </w:t>
      </w:r>
      <w:r>
        <w:rPr>
          <w:rFonts w:hint="eastAsia" w:eastAsia="方正仿宋_GBK" w:cs="Times New Roman"/>
          <w:color w:val="auto"/>
          <w:kern w:val="2"/>
          <w:sz w:val="28"/>
          <w:szCs w:val="24"/>
          <w:lang w:val="en-US" w:eastAsia="zh-CN" w:bidi="ar-SA"/>
        </w:rPr>
        <w:t xml:space="preserve"> </w:t>
      </w:r>
      <w:r>
        <w:rPr>
          <w:rFonts w:hint="eastAsia" w:ascii="仿宋_GB2312" w:hAnsi="仿宋_GB2312" w:eastAsia="方正仿宋_GBK" w:cs="Times New Roman"/>
          <w:color w:val="auto"/>
          <w:kern w:val="2"/>
          <w:sz w:val="28"/>
          <w:szCs w:val="24"/>
          <w:lang w:val="en-US" w:eastAsia="zh-CN" w:bidi="ar-SA"/>
        </w:rPr>
        <w:t>云南地质工程第二勘察院滇南分院</w:t>
      </w:r>
      <w:r>
        <w:rPr>
          <w:rFonts w:hint="eastAsia" w:eastAsia="方正仿宋_GBK" w:cs="Times New Roman"/>
          <w:color w:val="auto"/>
          <w:kern w:val="2"/>
          <w:sz w:val="28"/>
          <w:szCs w:val="24"/>
          <w:lang w:val="en-US" w:eastAsia="zh-CN" w:bidi="ar-SA"/>
        </w:rPr>
        <w:t>技术员</w:t>
      </w:r>
    </w:p>
    <w:p>
      <w:pPr>
        <w:widowControl w:val="0"/>
        <w:ind w:firstLine="640"/>
        <w:jc w:val="left"/>
        <w:rPr>
          <w:rFonts w:asciiTheme="minorEastAsia" w:hAnsiTheme="minorEastAsia" w:eastAsiaTheme="minorEastAsia" w:cstheme="minorEastAsia"/>
          <w:b/>
          <w:color w:val="auto"/>
          <w:szCs w:val="32"/>
        </w:rPr>
      </w:pPr>
      <w:r>
        <w:rPr>
          <w:rFonts w:hint="eastAsia" w:asciiTheme="minorEastAsia" w:hAnsiTheme="minorEastAsia" w:eastAsiaTheme="minorEastAsia" w:cstheme="minorEastAsia"/>
          <w:color w:val="auto"/>
          <w:szCs w:val="28"/>
        </w:rPr>
        <w:t xml:space="preserve">  </w:t>
      </w:r>
      <w:r>
        <w:rPr>
          <w:rFonts w:hint="eastAsia" w:asciiTheme="minorEastAsia" w:hAnsiTheme="minorEastAsia" w:eastAsiaTheme="minorEastAsia" w:cstheme="minorEastAsia"/>
          <w:b/>
          <w:color w:val="auto"/>
          <w:szCs w:val="32"/>
        </w:rPr>
        <w:t>项目完成单位：勐海县自然资源局</w:t>
      </w:r>
    </w:p>
    <w:p>
      <w:pPr>
        <w:widowControl w:val="0"/>
        <w:spacing w:line="240" w:lineRule="auto"/>
        <w:ind w:firstLine="0" w:firstLineChars="0"/>
        <w:jc w:val="center"/>
        <w:rPr>
          <w:rFonts w:asciiTheme="minorEastAsia" w:hAnsiTheme="minorEastAsia" w:eastAsiaTheme="minorEastAsia" w:cstheme="minorEastAsia"/>
          <w:b/>
          <w:color w:val="auto"/>
          <w:szCs w:val="32"/>
        </w:rPr>
      </w:pPr>
      <w:r>
        <w:rPr>
          <w:rFonts w:hint="eastAsia" w:asciiTheme="minorEastAsia" w:hAnsiTheme="minorEastAsia" w:eastAsiaTheme="minorEastAsia" w:cstheme="minorEastAsia"/>
          <w:b/>
          <w:color w:val="auto"/>
          <w:szCs w:val="32"/>
        </w:rPr>
        <w:t>　    云南地质工程第二勘察院</w:t>
      </w:r>
    </w:p>
    <w:p>
      <w:pPr>
        <w:ind w:firstLine="643"/>
        <w:rPr>
          <w:rFonts w:asciiTheme="minorEastAsia" w:hAnsiTheme="minorEastAsia" w:eastAsiaTheme="minorEastAsia" w:cstheme="minorEastAsia"/>
          <w:b/>
          <w:color w:val="auto"/>
          <w:szCs w:val="32"/>
        </w:rPr>
      </w:pPr>
      <w:r>
        <w:rPr>
          <w:rFonts w:hint="eastAsia" w:asciiTheme="minorEastAsia" w:hAnsiTheme="minorEastAsia" w:eastAsiaTheme="minorEastAsia" w:cstheme="minorEastAsia"/>
          <w:b/>
          <w:color w:val="auto"/>
          <w:szCs w:val="32"/>
        </w:rPr>
        <w:br w:type="page"/>
      </w:r>
    </w:p>
    <w:p>
      <w:pPr>
        <w:pStyle w:val="2"/>
        <w:ind w:firstLine="640"/>
        <w:rPr>
          <w:color w:val="auto"/>
        </w:rPr>
      </w:pPr>
    </w:p>
    <w:p>
      <w:pPr>
        <w:widowControl w:val="0"/>
        <w:spacing w:after="156" w:afterLines="50"/>
        <w:ind w:firstLine="720"/>
        <w:jc w:val="center"/>
        <w:outlineLvl w:val="0"/>
        <w:rPr>
          <w:rFonts w:ascii="Calibri" w:hAnsi="Calibri" w:eastAsia="黑体"/>
          <w:color w:val="auto"/>
          <w:sz w:val="36"/>
          <w:szCs w:val="32"/>
        </w:rPr>
      </w:pPr>
      <w:bookmarkStart w:id="0" w:name="_Toc59637800"/>
      <w:bookmarkStart w:id="1" w:name="_Toc67857831"/>
      <w:bookmarkStart w:id="2" w:name="_Toc67912403"/>
      <w:bookmarkStart w:id="3" w:name="_Toc71182238"/>
      <w:bookmarkStart w:id="4" w:name="_Toc4408"/>
      <w:r>
        <w:rPr>
          <w:rFonts w:hint="eastAsia" w:ascii="Calibri" w:hAnsi="Calibri" w:eastAsia="黑体"/>
          <w:color w:val="auto"/>
          <w:sz w:val="36"/>
          <w:szCs w:val="32"/>
        </w:rPr>
        <w:t>目  录</w:t>
      </w:r>
      <w:bookmarkEnd w:id="0"/>
      <w:bookmarkEnd w:id="1"/>
      <w:bookmarkEnd w:id="2"/>
      <w:bookmarkEnd w:id="3"/>
      <w:bookmarkEnd w:id="4"/>
    </w:p>
    <w:p>
      <w:pPr>
        <w:pStyle w:val="21"/>
        <w:tabs>
          <w:tab w:val="right" w:leader="dot" w:pos="9026"/>
        </w:tabs>
        <w:ind w:firstLine="640"/>
        <w:rPr>
          <w:color w:val="auto"/>
        </w:rPr>
      </w:pPr>
      <w:r>
        <w:rPr>
          <w:color w:val="auto"/>
        </w:rPr>
        <w:fldChar w:fldCharType="begin"/>
      </w:r>
      <w:r>
        <w:rPr>
          <w:color w:val="auto"/>
        </w:rPr>
        <w:instrText xml:space="preserve"> TOC \o "1-2" \h \z \u </w:instrText>
      </w:r>
      <w:r>
        <w:rPr>
          <w:color w:val="auto"/>
        </w:rPr>
        <w:fldChar w:fldCharType="separate"/>
      </w:r>
    </w:p>
    <w:p>
      <w:pPr>
        <w:pStyle w:val="21"/>
        <w:tabs>
          <w:tab w:val="right" w:leader="dot" w:pos="9026"/>
        </w:tabs>
        <w:ind w:firstLine="640"/>
        <w:rPr>
          <w:color w:val="auto"/>
        </w:rPr>
      </w:pPr>
      <w:r>
        <w:rPr>
          <w:color w:val="auto"/>
        </w:rPr>
        <w:fldChar w:fldCharType="begin"/>
      </w:r>
      <w:r>
        <w:rPr>
          <w:color w:val="auto"/>
        </w:rPr>
        <w:instrText xml:space="preserve"> HYPERLINK \l "_Toc25990" </w:instrText>
      </w:r>
      <w:r>
        <w:rPr>
          <w:color w:val="auto"/>
        </w:rPr>
        <w:fldChar w:fldCharType="separate"/>
      </w:r>
      <w:r>
        <w:rPr>
          <w:rFonts w:hint="eastAsia"/>
          <w:color w:val="auto"/>
        </w:rPr>
        <w:t>一、前言</w:t>
      </w:r>
      <w:r>
        <w:rPr>
          <w:color w:val="auto"/>
        </w:rPr>
        <w:tab/>
      </w:r>
      <w:r>
        <w:rPr>
          <w:color w:val="auto"/>
        </w:rPr>
        <w:fldChar w:fldCharType="begin"/>
      </w:r>
      <w:r>
        <w:rPr>
          <w:color w:val="auto"/>
        </w:rPr>
        <w:instrText xml:space="preserve"> PAGEREF _Toc25990 </w:instrText>
      </w:r>
      <w:r>
        <w:rPr>
          <w:color w:val="auto"/>
        </w:rPr>
        <w:fldChar w:fldCharType="separate"/>
      </w:r>
      <w:r>
        <w:rPr>
          <w:color w:val="auto"/>
        </w:rPr>
        <w:t>1</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"_Toc24521" </w:instrText>
      </w:r>
      <w:r>
        <w:rPr>
          <w:color w:val="auto"/>
        </w:rPr>
        <w:fldChar w:fldCharType="separate"/>
      </w:r>
      <w:r>
        <w:rPr>
          <w:rFonts w:hint="eastAsia"/>
          <w:color w:val="auto"/>
        </w:rPr>
        <w:t>二、地质灾害防治现状与形势</w:t>
      </w:r>
      <w:r>
        <w:rPr>
          <w:color w:val="auto"/>
        </w:rPr>
        <w:tab/>
      </w:r>
      <w:r>
        <w:rPr>
          <w:color w:val="auto"/>
        </w:rPr>
        <w:fldChar w:fldCharType="begin"/>
      </w:r>
      <w:r>
        <w:rPr>
          <w:color w:val="auto"/>
        </w:rPr>
        <w:instrText xml:space="preserve"> PAGEREF _Toc24521 </w:instrText>
      </w:r>
      <w:r>
        <w:rPr>
          <w:color w:val="auto"/>
        </w:rPr>
        <w:fldChar w:fldCharType="separate"/>
      </w:r>
      <w:r>
        <w:rPr>
          <w:color w:val="auto"/>
        </w:rPr>
        <w:t>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"_Toc550" </w:instrText>
      </w:r>
      <w:r>
        <w:rPr>
          <w:color w:val="auto"/>
        </w:rPr>
        <w:fldChar w:fldCharType="separate"/>
      </w:r>
      <w:r>
        <w:rPr>
          <w:rFonts w:hint="eastAsia"/>
          <w:color w:val="auto"/>
        </w:rPr>
        <w:t>（一）地质灾害现状</w:t>
      </w:r>
      <w:r>
        <w:rPr>
          <w:color w:val="auto"/>
        </w:rPr>
        <w:tab/>
      </w:r>
      <w:r>
        <w:rPr>
          <w:color w:val="auto"/>
        </w:rPr>
        <w:fldChar w:fldCharType="begin"/>
      </w:r>
      <w:r>
        <w:rPr>
          <w:color w:val="auto"/>
        </w:rPr>
        <w:instrText xml:space="preserve"> PAGEREF _Toc550 </w:instrText>
      </w:r>
      <w:r>
        <w:rPr>
          <w:color w:val="auto"/>
        </w:rPr>
        <w:fldChar w:fldCharType="separate"/>
      </w:r>
      <w:r>
        <w:rPr>
          <w:color w:val="auto"/>
        </w:rPr>
        <w:t>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"_Toc17294" </w:instrText>
      </w:r>
      <w:r>
        <w:rPr>
          <w:color w:val="auto"/>
        </w:rPr>
        <w:fldChar w:fldCharType="separate"/>
      </w:r>
      <w:r>
        <w:rPr>
          <w:color w:val="auto"/>
        </w:rPr>
        <w:t>（</w:t>
      </w:r>
      <w:r>
        <w:rPr>
          <w:rFonts w:hint="eastAsia"/>
          <w:color w:val="auto"/>
        </w:rPr>
        <w:t>二</w:t>
      </w:r>
      <w:r>
        <w:rPr>
          <w:color w:val="auto"/>
        </w:rPr>
        <w:t>）地质灾害发展趋势</w:t>
      </w:r>
      <w:r>
        <w:rPr>
          <w:color w:val="auto"/>
        </w:rPr>
        <w:tab/>
      </w:r>
      <w:r>
        <w:rPr>
          <w:color w:val="auto"/>
        </w:rPr>
        <w:fldChar w:fldCharType="begin"/>
      </w:r>
      <w:r>
        <w:rPr>
          <w:color w:val="auto"/>
        </w:rPr>
        <w:instrText xml:space="preserve"> PAGEREF _Toc17294 </w:instrText>
      </w:r>
      <w:r>
        <w:rPr>
          <w:color w:val="auto"/>
        </w:rPr>
        <w:fldChar w:fldCharType="separate"/>
      </w:r>
      <w:r>
        <w:rPr>
          <w:color w:val="auto"/>
        </w:rPr>
        <w:t>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"_Toc12815" </w:instrText>
      </w:r>
      <w:r>
        <w:rPr>
          <w:color w:val="auto"/>
        </w:rPr>
        <w:fldChar w:fldCharType="separate"/>
      </w:r>
      <w:r>
        <w:rPr>
          <w:rFonts w:hint="eastAsia"/>
          <w:color w:val="auto"/>
        </w:rPr>
        <w:t>（三）</w:t>
      </w:r>
      <w:r>
        <w:rPr>
          <w:color w:val="auto"/>
        </w:rPr>
        <w:t>上一轮地质灾害防治规划</w:t>
      </w:r>
      <w:r>
        <w:rPr>
          <w:rFonts w:hint="eastAsia"/>
          <w:color w:val="auto"/>
        </w:rPr>
        <w:t>成效</w:t>
      </w:r>
      <w:r>
        <w:rPr>
          <w:color w:val="auto"/>
        </w:rPr>
        <w:tab/>
      </w:r>
      <w:r>
        <w:rPr>
          <w:color w:val="auto"/>
        </w:rPr>
        <w:fldChar w:fldCharType="begin"/>
      </w:r>
      <w:r>
        <w:rPr>
          <w:color w:val="auto"/>
        </w:rPr>
        <w:instrText xml:space="preserve"> PAGEREF _Toc12815 </w:instrText>
      </w:r>
      <w:r>
        <w:rPr>
          <w:color w:val="auto"/>
        </w:rPr>
        <w:fldChar w:fldCharType="separate"/>
      </w:r>
      <w:r>
        <w:rPr>
          <w:color w:val="auto"/>
        </w:rPr>
        <w:t>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"_Toc2515" </w:instrText>
      </w:r>
      <w:r>
        <w:rPr>
          <w:color w:val="auto"/>
        </w:rPr>
        <w:fldChar w:fldCharType="separate"/>
      </w:r>
      <w:r>
        <w:rPr>
          <w:color w:val="auto"/>
        </w:rPr>
        <w:t>（</w:t>
      </w:r>
      <w:r>
        <w:rPr>
          <w:rFonts w:hint="eastAsia"/>
          <w:color w:val="auto"/>
        </w:rPr>
        <w:t>四</w:t>
      </w:r>
      <w:r>
        <w:rPr>
          <w:color w:val="auto"/>
        </w:rPr>
        <w:t>）</w:t>
      </w:r>
      <w:r>
        <w:rPr>
          <w:rFonts w:hint="eastAsia"/>
          <w:color w:val="auto"/>
        </w:rPr>
        <w:t>地质灾害防治</w:t>
      </w:r>
      <w:r>
        <w:rPr>
          <w:color w:val="auto"/>
        </w:rPr>
        <w:t>存在的问题</w:t>
      </w:r>
      <w:r>
        <w:rPr>
          <w:color w:val="auto"/>
        </w:rPr>
        <w:tab/>
      </w:r>
      <w:r>
        <w:rPr>
          <w:color w:val="auto"/>
        </w:rPr>
        <w:fldChar w:fldCharType="begin"/>
      </w:r>
      <w:r>
        <w:rPr>
          <w:color w:val="auto"/>
        </w:rPr>
        <w:instrText xml:space="preserve"> PAGEREF _Toc2515 </w:instrText>
      </w:r>
      <w:r>
        <w:rPr>
          <w:color w:val="auto"/>
        </w:rPr>
        <w:fldChar w:fldCharType="separate"/>
      </w:r>
      <w:r>
        <w:rPr>
          <w:color w:val="auto"/>
        </w:rPr>
        <w:t>6</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"_Toc9822" </w:instrText>
      </w:r>
      <w:r>
        <w:rPr>
          <w:color w:val="auto"/>
        </w:rPr>
        <w:fldChar w:fldCharType="separate"/>
      </w:r>
      <w:r>
        <w:rPr>
          <w:rFonts w:hint="eastAsia"/>
          <w:color w:val="auto"/>
        </w:rPr>
        <w:t>（五）“</w:t>
      </w:r>
      <w:r>
        <w:rPr>
          <w:color w:val="auto"/>
        </w:rPr>
        <w:t>十四五</w:t>
      </w:r>
      <w:r>
        <w:rPr>
          <w:rFonts w:hint="eastAsia"/>
          <w:color w:val="auto"/>
        </w:rPr>
        <w:t>”时期</w:t>
      </w:r>
      <w:r>
        <w:rPr>
          <w:color w:val="auto"/>
        </w:rPr>
        <w:t>地质灾害防治面临的形势</w:t>
      </w:r>
      <w:r>
        <w:rPr>
          <w:color w:val="auto"/>
        </w:rPr>
        <w:tab/>
      </w:r>
      <w:r>
        <w:rPr>
          <w:color w:val="auto"/>
        </w:rPr>
        <w:fldChar w:fldCharType="begin"/>
      </w:r>
      <w:r>
        <w:rPr>
          <w:color w:val="auto"/>
        </w:rPr>
        <w:instrText xml:space="preserve"> PAGEREF _Toc9822 </w:instrText>
      </w:r>
      <w:r>
        <w:rPr>
          <w:color w:val="auto"/>
        </w:rPr>
        <w:fldChar w:fldCharType="separate"/>
      </w:r>
      <w:r>
        <w:rPr>
          <w:color w:val="auto"/>
        </w:rPr>
        <w:t>8</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"_Toc31779" </w:instrText>
      </w:r>
      <w:r>
        <w:rPr>
          <w:color w:val="auto"/>
        </w:rPr>
        <w:fldChar w:fldCharType="separate"/>
      </w:r>
      <w:r>
        <w:rPr>
          <w:rFonts w:hint="eastAsia"/>
          <w:color w:val="auto"/>
        </w:rPr>
        <w:t>（六）</w:t>
      </w:r>
      <w:r>
        <w:rPr>
          <w:color w:val="auto"/>
        </w:rPr>
        <w:t>下一步工作计划</w:t>
      </w:r>
      <w:r>
        <w:rPr>
          <w:color w:val="auto"/>
        </w:rPr>
        <w:tab/>
      </w:r>
      <w:r>
        <w:rPr>
          <w:color w:val="auto"/>
        </w:rPr>
        <w:fldChar w:fldCharType="begin"/>
      </w:r>
      <w:r>
        <w:rPr>
          <w:color w:val="auto"/>
        </w:rPr>
        <w:instrText xml:space="preserve"> PAGEREF _Toc31779 </w:instrText>
      </w:r>
      <w:r>
        <w:rPr>
          <w:color w:val="auto"/>
        </w:rPr>
        <w:fldChar w:fldCharType="separate"/>
      </w:r>
      <w:r>
        <w:rPr>
          <w:color w:val="auto"/>
        </w:rPr>
        <w:t>9</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"_Toc29653" </w:instrText>
      </w:r>
      <w:r>
        <w:rPr>
          <w:color w:val="auto"/>
        </w:rPr>
        <w:fldChar w:fldCharType="separate"/>
      </w:r>
      <w:r>
        <w:rPr>
          <w:rFonts w:hint="eastAsia"/>
          <w:color w:val="auto"/>
        </w:rPr>
        <w:t>三、指导思想与规划目标</w:t>
      </w:r>
      <w:r>
        <w:rPr>
          <w:color w:val="auto"/>
        </w:rPr>
        <w:tab/>
      </w:r>
      <w:r>
        <w:rPr>
          <w:color w:val="auto"/>
        </w:rPr>
        <w:fldChar w:fldCharType="begin"/>
      </w:r>
      <w:r>
        <w:rPr>
          <w:color w:val="auto"/>
        </w:rPr>
        <w:instrText xml:space="preserve"> PAGEREF _Toc29653 </w:instrText>
      </w:r>
      <w:r>
        <w:rPr>
          <w:color w:val="auto"/>
        </w:rPr>
        <w:fldChar w:fldCharType="separate"/>
      </w:r>
      <w:r>
        <w:rPr>
          <w:color w:val="auto"/>
        </w:rPr>
        <w:t>11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"_Toc28718" </w:instrText>
      </w:r>
      <w:r>
        <w:rPr>
          <w:color w:val="auto"/>
        </w:rPr>
        <w:fldChar w:fldCharType="separate"/>
      </w:r>
      <w:r>
        <w:rPr>
          <w:rFonts w:hint="eastAsia"/>
          <w:color w:val="auto"/>
        </w:rPr>
        <w:t>（一）指导思想</w:t>
      </w:r>
      <w:r>
        <w:rPr>
          <w:color w:val="auto"/>
        </w:rPr>
        <w:tab/>
      </w:r>
      <w:r>
        <w:rPr>
          <w:color w:val="auto"/>
        </w:rPr>
        <w:fldChar w:fldCharType="begin"/>
      </w:r>
      <w:r>
        <w:rPr>
          <w:color w:val="auto"/>
        </w:rPr>
        <w:instrText xml:space="preserve"> PAGEREF _Toc28718 </w:instrText>
      </w:r>
      <w:r>
        <w:rPr>
          <w:color w:val="auto"/>
        </w:rPr>
        <w:fldChar w:fldCharType="separate"/>
      </w:r>
      <w:r>
        <w:rPr>
          <w:color w:val="auto"/>
        </w:rPr>
        <w:t>11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"_Toc9609" </w:instrText>
      </w:r>
      <w:r>
        <w:rPr>
          <w:color w:val="auto"/>
        </w:rPr>
        <w:fldChar w:fldCharType="separate"/>
      </w:r>
      <w:r>
        <w:rPr>
          <w:rFonts w:hint="eastAsia"/>
          <w:color w:val="auto"/>
        </w:rPr>
        <w:t>（二）规划原则</w:t>
      </w:r>
      <w:r>
        <w:rPr>
          <w:color w:val="auto"/>
        </w:rPr>
        <w:tab/>
      </w:r>
      <w:r>
        <w:rPr>
          <w:color w:val="auto"/>
        </w:rPr>
        <w:fldChar w:fldCharType="begin"/>
      </w:r>
      <w:r>
        <w:rPr>
          <w:color w:val="auto"/>
        </w:rPr>
        <w:instrText xml:space="preserve"> PAGEREF _Toc9609 </w:instrText>
      </w:r>
      <w:r>
        <w:rPr>
          <w:color w:val="auto"/>
        </w:rPr>
        <w:fldChar w:fldCharType="separate"/>
      </w:r>
      <w:r>
        <w:rPr>
          <w:color w:val="auto"/>
        </w:rPr>
        <w:t>12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"_Toc18481" </w:instrText>
      </w:r>
      <w:r>
        <w:rPr>
          <w:color w:val="auto"/>
        </w:rPr>
        <w:fldChar w:fldCharType="separate"/>
      </w:r>
      <w:r>
        <w:rPr>
          <w:rFonts w:hint="eastAsia"/>
          <w:color w:val="auto"/>
        </w:rPr>
        <w:t>（三）规划目标</w:t>
      </w:r>
      <w:r>
        <w:rPr>
          <w:color w:val="auto"/>
        </w:rPr>
        <w:tab/>
      </w:r>
      <w:r>
        <w:rPr>
          <w:color w:val="auto"/>
        </w:rPr>
        <w:fldChar w:fldCharType="begin"/>
      </w:r>
      <w:r>
        <w:rPr>
          <w:color w:val="auto"/>
        </w:rPr>
        <w:instrText xml:space="preserve"> PAGEREF _Toc18481 </w:instrText>
      </w:r>
      <w:r>
        <w:rPr>
          <w:color w:val="auto"/>
        </w:rPr>
        <w:fldChar w:fldCharType="separate"/>
      </w:r>
      <w:r>
        <w:rPr>
          <w:color w:val="auto"/>
        </w:rPr>
        <w:t>14</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"_Toc4670" </w:instrText>
      </w:r>
      <w:r>
        <w:rPr>
          <w:color w:val="auto"/>
        </w:rPr>
        <w:fldChar w:fldCharType="separate"/>
      </w:r>
      <w:r>
        <w:rPr>
          <w:rFonts w:hint="eastAsia"/>
          <w:color w:val="auto"/>
        </w:rPr>
        <w:t>四、地质灾害易发区和重点防治区</w:t>
      </w:r>
      <w:r>
        <w:rPr>
          <w:color w:val="auto"/>
        </w:rPr>
        <w:tab/>
      </w:r>
      <w:r>
        <w:rPr>
          <w:color w:val="auto"/>
        </w:rPr>
        <w:fldChar w:fldCharType="begin"/>
      </w:r>
      <w:r>
        <w:rPr>
          <w:color w:val="auto"/>
        </w:rPr>
        <w:instrText xml:space="preserve"> PAGEREF _Toc4670 </w:instrText>
      </w:r>
      <w:r>
        <w:rPr>
          <w:color w:val="auto"/>
        </w:rPr>
        <w:fldChar w:fldCharType="separate"/>
      </w:r>
      <w:r>
        <w:rPr>
          <w:color w:val="auto"/>
        </w:rPr>
        <w:t>17</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"_Toc28534" </w:instrText>
      </w:r>
      <w:r>
        <w:rPr>
          <w:color w:val="auto"/>
        </w:rPr>
        <w:fldChar w:fldCharType="separate"/>
      </w:r>
      <w:r>
        <w:rPr>
          <w:rFonts w:hint="eastAsia"/>
          <w:color w:val="auto"/>
        </w:rPr>
        <w:t>（一）地质灾害易发区</w:t>
      </w:r>
      <w:r>
        <w:rPr>
          <w:color w:val="auto"/>
        </w:rPr>
        <w:tab/>
      </w:r>
      <w:r>
        <w:rPr>
          <w:color w:val="auto"/>
        </w:rPr>
        <w:fldChar w:fldCharType="begin"/>
      </w:r>
      <w:r>
        <w:rPr>
          <w:color w:val="auto"/>
        </w:rPr>
        <w:instrText xml:space="preserve"> PAGEREF _Toc28534 </w:instrText>
      </w:r>
      <w:r>
        <w:rPr>
          <w:color w:val="auto"/>
        </w:rPr>
        <w:fldChar w:fldCharType="separate"/>
      </w:r>
      <w:r>
        <w:rPr>
          <w:color w:val="auto"/>
        </w:rPr>
        <w:t>17</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"_Toc29025" </w:instrText>
      </w:r>
      <w:r>
        <w:rPr>
          <w:color w:val="auto"/>
        </w:rPr>
        <w:fldChar w:fldCharType="separate"/>
      </w:r>
      <w:r>
        <w:rPr>
          <w:rFonts w:hint="eastAsia"/>
          <w:color w:val="auto"/>
        </w:rPr>
        <w:t>（二）地质灾害重点防治区</w:t>
      </w:r>
      <w:r>
        <w:rPr>
          <w:color w:val="auto"/>
        </w:rPr>
        <w:tab/>
      </w:r>
      <w:r>
        <w:rPr>
          <w:color w:val="auto"/>
        </w:rPr>
        <w:fldChar w:fldCharType="begin"/>
      </w:r>
      <w:r>
        <w:rPr>
          <w:color w:val="auto"/>
        </w:rPr>
        <w:instrText xml:space="preserve"> PAGEREF _Toc29025 </w:instrText>
      </w:r>
      <w:r>
        <w:rPr>
          <w:color w:val="auto"/>
        </w:rPr>
        <w:fldChar w:fldCharType="separate"/>
      </w:r>
      <w:r>
        <w:rPr>
          <w:color w:val="auto"/>
        </w:rPr>
        <w:t>18</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"_Toc31705" </w:instrText>
      </w:r>
      <w:r>
        <w:rPr>
          <w:color w:val="auto"/>
        </w:rPr>
        <w:fldChar w:fldCharType="separate"/>
      </w:r>
      <w:r>
        <w:rPr>
          <w:rFonts w:hint="eastAsia"/>
          <w:color w:val="auto"/>
        </w:rPr>
        <w:t>五、地质灾害防治任务</w:t>
      </w:r>
      <w:r>
        <w:rPr>
          <w:color w:val="auto"/>
        </w:rPr>
        <w:tab/>
      </w:r>
      <w:r>
        <w:rPr>
          <w:color w:val="auto"/>
        </w:rPr>
        <w:fldChar w:fldCharType="begin"/>
      </w:r>
      <w:r>
        <w:rPr>
          <w:color w:val="auto"/>
        </w:rPr>
        <w:instrText xml:space="preserve"> PAGEREF _Toc31705 </w:instrText>
      </w:r>
      <w:r>
        <w:rPr>
          <w:color w:val="auto"/>
        </w:rPr>
        <w:fldChar w:fldCharType="separate"/>
      </w:r>
      <w:r>
        <w:rPr>
          <w:color w:val="auto"/>
        </w:rPr>
        <w:t>21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"_Toc21751" </w:instrText>
      </w:r>
      <w:r>
        <w:rPr>
          <w:color w:val="auto"/>
        </w:rPr>
        <w:fldChar w:fldCharType="separate"/>
      </w:r>
      <w:r>
        <w:rPr>
          <w:rFonts w:hint="eastAsia"/>
          <w:color w:val="auto"/>
        </w:rPr>
        <w:t>（一）调查评价</w:t>
      </w:r>
      <w:r>
        <w:rPr>
          <w:color w:val="auto"/>
        </w:rPr>
        <w:tab/>
      </w:r>
      <w:r>
        <w:rPr>
          <w:color w:val="auto"/>
        </w:rPr>
        <w:fldChar w:fldCharType="begin"/>
      </w:r>
      <w:r>
        <w:rPr>
          <w:color w:val="auto"/>
        </w:rPr>
        <w:instrText xml:space="preserve"> PAGEREF _Toc21751 </w:instrText>
      </w:r>
      <w:r>
        <w:rPr>
          <w:color w:val="auto"/>
        </w:rPr>
        <w:fldChar w:fldCharType="separate"/>
      </w:r>
      <w:r>
        <w:rPr>
          <w:color w:val="auto"/>
        </w:rPr>
        <w:t>21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"_Toc9340" </w:instrText>
      </w:r>
      <w:r>
        <w:rPr>
          <w:color w:val="auto"/>
        </w:rPr>
        <w:fldChar w:fldCharType="separate"/>
      </w:r>
      <w:r>
        <w:rPr>
          <w:rFonts w:hint="eastAsia"/>
          <w:color w:val="auto"/>
        </w:rPr>
        <w:t>（二）监测预警</w:t>
      </w:r>
      <w:r>
        <w:rPr>
          <w:color w:val="auto"/>
        </w:rPr>
        <w:tab/>
      </w:r>
      <w:r>
        <w:rPr>
          <w:color w:val="auto"/>
        </w:rPr>
        <w:fldChar w:fldCharType="begin"/>
      </w:r>
      <w:r>
        <w:rPr>
          <w:color w:val="auto"/>
        </w:rPr>
        <w:instrText xml:space="preserve"> PAGEREF _Toc9340 </w:instrText>
      </w:r>
      <w:r>
        <w:rPr>
          <w:color w:val="auto"/>
        </w:rPr>
        <w:fldChar w:fldCharType="separate"/>
      </w:r>
      <w:r>
        <w:rPr>
          <w:color w:val="auto"/>
        </w:rPr>
        <w:t>22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"_Toc6150" </w:instrText>
      </w:r>
      <w:r>
        <w:rPr>
          <w:color w:val="auto"/>
        </w:rPr>
        <w:fldChar w:fldCharType="separate"/>
      </w:r>
      <w:r>
        <w:rPr>
          <w:rFonts w:hint="eastAsia"/>
          <w:color w:val="auto"/>
        </w:rPr>
        <w:t>（三）工程治理</w:t>
      </w:r>
      <w:r>
        <w:rPr>
          <w:color w:val="auto"/>
        </w:rPr>
        <w:tab/>
      </w:r>
      <w:r>
        <w:rPr>
          <w:color w:val="auto"/>
        </w:rPr>
        <w:fldChar w:fldCharType="begin"/>
      </w:r>
      <w:r>
        <w:rPr>
          <w:color w:val="auto"/>
        </w:rPr>
        <w:instrText xml:space="preserve"> PAGEREF _Toc6150 </w:instrText>
      </w:r>
      <w:r>
        <w:rPr>
          <w:color w:val="auto"/>
        </w:rPr>
        <w:fldChar w:fldCharType="separate"/>
      </w:r>
      <w:r>
        <w:rPr>
          <w:color w:val="auto"/>
        </w:rPr>
        <w:t>24</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"_Toc32523" </w:instrText>
      </w:r>
      <w:r>
        <w:rPr>
          <w:color w:val="auto"/>
        </w:rPr>
        <w:fldChar w:fldCharType="separate"/>
      </w:r>
      <w:r>
        <w:rPr>
          <w:rFonts w:hint="eastAsia"/>
          <w:color w:val="auto"/>
        </w:rPr>
        <w:t>（四）技术支撑</w:t>
      </w:r>
      <w:r>
        <w:rPr>
          <w:color w:val="auto"/>
        </w:rPr>
        <w:tab/>
      </w:r>
      <w:r>
        <w:rPr>
          <w:color w:val="auto"/>
        </w:rPr>
        <w:fldChar w:fldCharType="begin"/>
      </w:r>
      <w:r>
        <w:rPr>
          <w:color w:val="auto"/>
        </w:rPr>
        <w:instrText xml:space="preserve"> PAGEREF _Toc32523 </w:instrText>
      </w:r>
      <w:r>
        <w:rPr>
          <w:color w:val="auto"/>
        </w:rPr>
        <w:fldChar w:fldCharType="separate"/>
      </w:r>
      <w:r>
        <w:rPr>
          <w:color w:val="auto"/>
        </w:rPr>
        <w:t>25</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"_Toc3393" </w:instrText>
      </w:r>
      <w:r>
        <w:rPr>
          <w:color w:val="auto"/>
        </w:rPr>
        <w:fldChar w:fldCharType="separate"/>
      </w:r>
      <w:r>
        <w:rPr>
          <w:rFonts w:hint="eastAsia"/>
          <w:color w:val="auto"/>
        </w:rPr>
        <w:t>（五）地质灾害信息系统维护</w:t>
      </w:r>
      <w:r>
        <w:rPr>
          <w:color w:val="auto"/>
        </w:rPr>
        <w:tab/>
      </w:r>
      <w:r>
        <w:rPr>
          <w:color w:val="auto"/>
        </w:rPr>
        <w:fldChar w:fldCharType="begin"/>
      </w:r>
      <w:r>
        <w:rPr>
          <w:color w:val="auto"/>
        </w:rPr>
        <w:instrText xml:space="preserve"> PAGEREF _Toc3393 </w:instrText>
      </w:r>
      <w:r>
        <w:rPr>
          <w:color w:val="auto"/>
        </w:rPr>
        <w:fldChar w:fldCharType="separate"/>
      </w:r>
      <w:r>
        <w:rPr>
          <w:color w:val="auto"/>
        </w:rPr>
        <w:t>25</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"_Toc16453" </w:instrText>
      </w:r>
      <w:r>
        <w:rPr>
          <w:color w:val="auto"/>
        </w:rPr>
        <w:fldChar w:fldCharType="separate"/>
      </w:r>
      <w:r>
        <w:rPr>
          <w:rFonts w:hint="eastAsia"/>
          <w:color w:val="auto"/>
        </w:rPr>
        <w:t>（六）应急抢险系统建设</w:t>
      </w:r>
      <w:r>
        <w:rPr>
          <w:color w:val="auto"/>
        </w:rPr>
        <w:tab/>
      </w:r>
      <w:r>
        <w:rPr>
          <w:color w:val="auto"/>
        </w:rPr>
        <w:fldChar w:fldCharType="begin"/>
      </w:r>
      <w:r>
        <w:rPr>
          <w:color w:val="auto"/>
        </w:rPr>
        <w:instrText xml:space="preserve"> PAGEREF _Toc16453 </w:instrText>
      </w:r>
      <w:r>
        <w:rPr>
          <w:color w:val="auto"/>
        </w:rPr>
        <w:fldChar w:fldCharType="separate"/>
      </w:r>
      <w:r>
        <w:rPr>
          <w:color w:val="auto"/>
        </w:rPr>
        <w:t>26</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"_Toc22515" </w:instrText>
      </w:r>
      <w:r>
        <w:rPr>
          <w:color w:val="auto"/>
        </w:rPr>
        <w:fldChar w:fldCharType="separate"/>
      </w:r>
      <w:r>
        <w:rPr>
          <w:rFonts w:hint="eastAsia"/>
          <w:color w:val="auto"/>
        </w:rPr>
        <w:t>（七）管理体系建设</w:t>
      </w:r>
      <w:r>
        <w:rPr>
          <w:color w:val="auto"/>
        </w:rPr>
        <w:tab/>
      </w:r>
      <w:r>
        <w:rPr>
          <w:color w:val="auto"/>
        </w:rPr>
        <w:fldChar w:fldCharType="begin"/>
      </w:r>
      <w:r>
        <w:rPr>
          <w:color w:val="auto"/>
        </w:rPr>
        <w:instrText xml:space="preserve"> PAGEREF _Toc22515 </w:instrText>
      </w:r>
      <w:r>
        <w:rPr>
          <w:color w:val="auto"/>
        </w:rPr>
        <w:fldChar w:fldCharType="separate"/>
      </w:r>
      <w:r>
        <w:rPr>
          <w:color w:val="auto"/>
        </w:rPr>
        <w:t>28</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"_Toc24997" </w:instrText>
      </w:r>
      <w:r>
        <w:rPr>
          <w:color w:val="auto"/>
        </w:rPr>
        <w:fldChar w:fldCharType="separate"/>
      </w:r>
      <w:r>
        <w:rPr>
          <w:rFonts w:hint="eastAsia"/>
          <w:color w:val="auto"/>
        </w:rPr>
        <w:t>（八）地质灾害宣传培训与演练</w:t>
      </w:r>
      <w:r>
        <w:rPr>
          <w:color w:val="auto"/>
        </w:rPr>
        <w:tab/>
      </w:r>
      <w:r>
        <w:rPr>
          <w:color w:val="auto"/>
        </w:rPr>
        <w:fldChar w:fldCharType="begin"/>
      </w:r>
      <w:r>
        <w:rPr>
          <w:color w:val="auto"/>
        </w:rPr>
        <w:instrText xml:space="preserve"> PAGEREF _Toc24997 </w:instrText>
      </w:r>
      <w:r>
        <w:rPr>
          <w:color w:val="auto"/>
        </w:rPr>
        <w:fldChar w:fldCharType="separate"/>
      </w:r>
      <w:r>
        <w:rPr>
          <w:color w:val="auto"/>
        </w:rPr>
        <w:t>28</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"_Toc27019" </w:instrText>
      </w:r>
      <w:r>
        <w:rPr>
          <w:color w:val="auto"/>
        </w:rPr>
        <w:fldChar w:fldCharType="separate"/>
      </w:r>
      <w:r>
        <w:rPr>
          <w:rFonts w:hint="eastAsia"/>
          <w:color w:val="auto"/>
        </w:rPr>
        <w:t>六、经费概算</w:t>
      </w:r>
      <w:r>
        <w:rPr>
          <w:color w:val="auto"/>
        </w:rPr>
        <w:tab/>
      </w:r>
      <w:r>
        <w:rPr>
          <w:color w:val="auto"/>
        </w:rPr>
        <w:fldChar w:fldCharType="begin"/>
      </w:r>
      <w:r>
        <w:rPr>
          <w:color w:val="auto"/>
        </w:rPr>
        <w:instrText xml:space="preserve"> PAGEREF _Toc27019 </w:instrText>
      </w:r>
      <w:r>
        <w:rPr>
          <w:color w:val="auto"/>
        </w:rPr>
        <w:fldChar w:fldCharType="separate"/>
      </w:r>
      <w:r>
        <w:rPr>
          <w:color w:val="auto"/>
        </w:rPr>
        <w:t>31</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"_Toc23894" </w:instrText>
      </w:r>
      <w:r>
        <w:rPr>
          <w:color w:val="auto"/>
        </w:rPr>
        <w:fldChar w:fldCharType="separate"/>
      </w:r>
      <w:r>
        <w:rPr>
          <w:rFonts w:hint="eastAsia"/>
          <w:color w:val="auto"/>
        </w:rPr>
        <w:t>七 、防治效益</w:t>
      </w:r>
      <w:r>
        <w:rPr>
          <w:color w:val="auto"/>
        </w:rPr>
        <w:tab/>
      </w:r>
      <w:r>
        <w:rPr>
          <w:color w:val="auto"/>
        </w:rPr>
        <w:fldChar w:fldCharType="begin"/>
      </w:r>
      <w:r>
        <w:rPr>
          <w:color w:val="auto"/>
        </w:rPr>
        <w:instrText xml:space="preserve"> PAGEREF _Toc23894 </w:instrText>
      </w:r>
      <w:r>
        <w:rPr>
          <w:color w:val="auto"/>
        </w:rPr>
        <w:fldChar w:fldCharType="separate"/>
      </w:r>
      <w:r>
        <w:rPr>
          <w:color w:val="auto"/>
        </w:rPr>
        <w:t>31</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"_Toc12337" </w:instrText>
      </w:r>
      <w:r>
        <w:rPr>
          <w:color w:val="auto"/>
        </w:rPr>
        <w:fldChar w:fldCharType="separate"/>
      </w:r>
      <w:r>
        <w:rPr>
          <w:rFonts w:hint="eastAsia"/>
          <w:color w:val="auto"/>
        </w:rPr>
        <w:t>（一）社会效益</w:t>
      </w:r>
      <w:r>
        <w:rPr>
          <w:color w:val="auto"/>
        </w:rPr>
        <w:tab/>
      </w:r>
      <w:r>
        <w:rPr>
          <w:color w:val="auto"/>
        </w:rPr>
        <w:fldChar w:fldCharType="begin"/>
      </w:r>
      <w:r>
        <w:rPr>
          <w:color w:val="auto"/>
        </w:rPr>
        <w:instrText xml:space="preserve"> PAGEREF _Toc12337 </w:instrText>
      </w:r>
      <w:r>
        <w:rPr>
          <w:color w:val="auto"/>
        </w:rPr>
        <w:fldChar w:fldCharType="separate"/>
      </w:r>
      <w:r>
        <w:rPr>
          <w:color w:val="auto"/>
        </w:rPr>
        <w:t>32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"_Toc31455" </w:instrText>
      </w:r>
      <w:r>
        <w:rPr>
          <w:color w:val="auto"/>
        </w:rPr>
        <w:fldChar w:fldCharType="separate"/>
      </w:r>
      <w:r>
        <w:rPr>
          <w:rFonts w:hint="eastAsia"/>
          <w:color w:val="auto"/>
        </w:rPr>
        <w:t>（二）经济效益</w:t>
      </w:r>
      <w:r>
        <w:rPr>
          <w:color w:val="auto"/>
        </w:rPr>
        <w:tab/>
      </w:r>
      <w:r>
        <w:rPr>
          <w:color w:val="auto"/>
        </w:rPr>
        <w:fldChar w:fldCharType="begin"/>
      </w:r>
      <w:r>
        <w:rPr>
          <w:color w:val="auto"/>
        </w:rPr>
        <w:instrText xml:space="preserve"> PAGEREF _Toc31455 </w:instrText>
      </w:r>
      <w:r>
        <w:rPr>
          <w:color w:val="auto"/>
        </w:rPr>
        <w:fldChar w:fldCharType="separate"/>
      </w:r>
      <w:r>
        <w:rPr>
          <w:color w:val="auto"/>
        </w:rPr>
        <w:t>32</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"_Toc10054" </w:instrText>
      </w:r>
      <w:r>
        <w:rPr>
          <w:color w:val="auto"/>
        </w:rPr>
        <w:fldChar w:fldCharType="separate"/>
      </w:r>
      <w:r>
        <w:rPr>
          <w:rFonts w:hint="eastAsia"/>
          <w:color w:val="auto"/>
        </w:rPr>
        <w:t>（三）生态环境效益</w:t>
      </w:r>
      <w:r>
        <w:rPr>
          <w:color w:val="auto"/>
        </w:rPr>
        <w:tab/>
      </w:r>
      <w:r>
        <w:rPr>
          <w:color w:val="auto"/>
        </w:rPr>
        <w:fldChar w:fldCharType="begin"/>
      </w:r>
      <w:r>
        <w:rPr>
          <w:color w:val="auto"/>
        </w:rPr>
        <w:instrText xml:space="preserve"> PAGEREF _Toc10054 </w:instrText>
      </w:r>
      <w:r>
        <w:rPr>
          <w:color w:val="auto"/>
        </w:rPr>
        <w:fldChar w:fldCharType="separate"/>
      </w:r>
      <w:r>
        <w:rPr>
          <w:color w:val="auto"/>
        </w:rPr>
        <w:t>33</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"_Toc14894" </w:instrText>
      </w:r>
      <w:r>
        <w:rPr>
          <w:color w:val="auto"/>
        </w:rPr>
        <w:fldChar w:fldCharType="separate"/>
      </w:r>
      <w:r>
        <w:rPr>
          <w:rFonts w:hint="eastAsia"/>
          <w:color w:val="auto"/>
        </w:rPr>
        <w:t>八、保障措施</w:t>
      </w:r>
      <w:r>
        <w:rPr>
          <w:color w:val="auto"/>
        </w:rPr>
        <w:tab/>
      </w:r>
      <w:r>
        <w:rPr>
          <w:color w:val="auto"/>
        </w:rPr>
        <w:fldChar w:fldCharType="begin"/>
      </w:r>
      <w:r>
        <w:rPr>
          <w:color w:val="auto"/>
        </w:rPr>
        <w:instrText xml:space="preserve"> PAGEREF _Toc14894 </w:instrText>
      </w:r>
      <w:r>
        <w:rPr>
          <w:color w:val="auto"/>
        </w:rPr>
        <w:fldChar w:fldCharType="separate"/>
      </w:r>
      <w:r>
        <w:rPr>
          <w:color w:val="auto"/>
        </w:rPr>
        <w:t>34</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"_Toc16586" </w:instrText>
      </w:r>
      <w:r>
        <w:rPr>
          <w:color w:val="auto"/>
        </w:rPr>
        <w:fldChar w:fldCharType="separate"/>
      </w:r>
      <w:r>
        <w:rPr>
          <w:rFonts w:hint="eastAsia"/>
          <w:color w:val="auto"/>
        </w:rPr>
        <w:t>（一）加强法制化管理</w:t>
      </w:r>
      <w:r>
        <w:rPr>
          <w:color w:val="auto"/>
        </w:rPr>
        <w:tab/>
      </w:r>
      <w:r>
        <w:rPr>
          <w:color w:val="auto"/>
        </w:rPr>
        <w:fldChar w:fldCharType="begin"/>
      </w:r>
      <w:r>
        <w:rPr>
          <w:color w:val="auto"/>
        </w:rPr>
        <w:instrText xml:space="preserve"> PAGEREF _Toc16586 </w:instrText>
      </w:r>
      <w:r>
        <w:rPr>
          <w:color w:val="auto"/>
        </w:rPr>
        <w:fldChar w:fldCharType="separate"/>
      </w:r>
      <w:r>
        <w:rPr>
          <w:color w:val="auto"/>
        </w:rPr>
        <w:t>34</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"_Toc6118" </w:instrText>
      </w:r>
      <w:r>
        <w:rPr>
          <w:color w:val="auto"/>
        </w:rPr>
        <w:fldChar w:fldCharType="separate"/>
      </w:r>
      <w:r>
        <w:rPr>
          <w:rFonts w:hint="eastAsia"/>
          <w:color w:val="auto"/>
        </w:rPr>
        <w:t>（二）统一领导，加强协调</w:t>
      </w:r>
      <w:r>
        <w:rPr>
          <w:color w:val="auto"/>
        </w:rPr>
        <w:tab/>
      </w:r>
      <w:r>
        <w:rPr>
          <w:color w:val="auto"/>
        </w:rPr>
        <w:fldChar w:fldCharType="begin"/>
      </w:r>
      <w:r>
        <w:rPr>
          <w:color w:val="auto"/>
        </w:rPr>
        <w:instrText xml:space="preserve"> PAGEREF _Toc6118 </w:instrText>
      </w:r>
      <w:r>
        <w:rPr>
          <w:color w:val="auto"/>
        </w:rPr>
        <w:fldChar w:fldCharType="separate"/>
      </w:r>
      <w:r>
        <w:rPr>
          <w:color w:val="auto"/>
        </w:rPr>
        <w:t>34</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"_Toc5877" </w:instrText>
      </w:r>
      <w:r>
        <w:rPr>
          <w:color w:val="auto"/>
        </w:rPr>
        <w:fldChar w:fldCharType="separate"/>
      </w:r>
      <w:r>
        <w:rPr>
          <w:rFonts w:hint="eastAsia"/>
          <w:color w:val="auto"/>
        </w:rPr>
        <w:t>（三）整合资源，部门联动</w:t>
      </w:r>
      <w:r>
        <w:rPr>
          <w:color w:val="auto"/>
        </w:rPr>
        <w:tab/>
      </w:r>
      <w:r>
        <w:rPr>
          <w:color w:val="auto"/>
        </w:rPr>
        <w:fldChar w:fldCharType="begin"/>
      </w:r>
      <w:r>
        <w:rPr>
          <w:color w:val="auto"/>
        </w:rPr>
        <w:instrText xml:space="preserve"> PAGEREF _Toc5877 </w:instrText>
      </w:r>
      <w:r>
        <w:rPr>
          <w:color w:val="auto"/>
        </w:rPr>
        <w:fldChar w:fldCharType="separate"/>
      </w:r>
      <w:r>
        <w:rPr>
          <w:color w:val="auto"/>
        </w:rPr>
        <w:t>35</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"_Toc32021" </w:instrText>
      </w:r>
      <w:r>
        <w:rPr>
          <w:color w:val="auto"/>
        </w:rPr>
        <w:fldChar w:fldCharType="separate"/>
      </w:r>
      <w:r>
        <w:rPr>
          <w:rFonts w:hint="eastAsia"/>
          <w:color w:val="auto"/>
        </w:rPr>
        <w:t>（四）分级负责，严肃奖惩</w:t>
      </w:r>
      <w:r>
        <w:rPr>
          <w:color w:val="auto"/>
        </w:rPr>
        <w:tab/>
      </w:r>
      <w:r>
        <w:rPr>
          <w:color w:val="auto"/>
        </w:rPr>
        <w:fldChar w:fldCharType="begin"/>
      </w:r>
      <w:r>
        <w:rPr>
          <w:color w:val="auto"/>
        </w:rPr>
        <w:instrText xml:space="preserve"> PAGEREF _Toc32021 </w:instrText>
      </w:r>
      <w:r>
        <w:rPr>
          <w:color w:val="auto"/>
        </w:rPr>
        <w:fldChar w:fldCharType="separate"/>
      </w:r>
      <w:r>
        <w:rPr>
          <w:color w:val="auto"/>
        </w:rPr>
        <w:t>36</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"_Toc3969" </w:instrText>
      </w:r>
      <w:r>
        <w:rPr>
          <w:color w:val="auto"/>
        </w:rPr>
        <w:fldChar w:fldCharType="separate"/>
      </w:r>
      <w:r>
        <w:rPr>
          <w:rFonts w:hint="eastAsia"/>
          <w:color w:val="auto"/>
        </w:rPr>
        <w:t>（五）保证投入，追踪问效</w:t>
      </w:r>
      <w:r>
        <w:rPr>
          <w:color w:val="auto"/>
        </w:rPr>
        <w:tab/>
      </w:r>
      <w:r>
        <w:rPr>
          <w:color w:val="auto"/>
        </w:rPr>
        <w:fldChar w:fldCharType="begin"/>
      </w:r>
      <w:r>
        <w:rPr>
          <w:color w:val="auto"/>
        </w:rPr>
        <w:instrText xml:space="preserve"> PAGEREF _Toc3969 </w:instrText>
      </w:r>
      <w:r>
        <w:rPr>
          <w:color w:val="auto"/>
        </w:rPr>
        <w:fldChar w:fldCharType="separate"/>
      </w:r>
      <w:r>
        <w:rPr>
          <w:color w:val="auto"/>
        </w:rPr>
        <w:t>36</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"_Toc32199" </w:instrText>
      </w:r>
      <w:r>
        <w:rPr>
          <w:color w:val="auto"/>
        </w:rPr>
        <w:fldChar w:fldCharType="separate"/>
      </w:r>
      <w:r>
        <w:rPr>
          <w:rFonts w:hint="eastAsia"/>
          <w:color w:val="auto"/>
        </w:rPr>
        <w:t>（六）加强宣传教育</w:t>
      </w:r>
      <w:r>
        <w:rPr>
          <w:color w:val="auto"/>
        </w:rPr>
        <w:tab/>
      </w:r>
      <w:r>
        <w:rPr>
          <w:color w:val="auto"/>
        </w:rPr>
        <w:fldChar w:fldCharType="begin"/>
      </w:r>
      <w:r>
        <w:rPr>
          <w:color w:val="auto"/>
        </w:rPr>
        <w:instrText xml:space="preserve"> PAGEREF _Toc32199 </w:instrText>
      </w:r>
      <w:r>
        <w:rPr>
          <w:color w:val="auto"/>
        </w:rPr>
        <w:fldChar w:fldCharType="separate"/>
      </w:r>
      <w:r>
        <w:rPr>
          <w:color w:val="auto"/>
        </w:rPr>
        <w:t>37</w:t>
      </w:r>
      <w:r>
        <w:rPr>
          <w:color w:val="auto"/>
        </w:rPr>
        <w:fldChar w:fldCharType="end"/>
      </w:r>
      <w:r>
        <w:rPr>
          <w:color w:val="auto"/>
        </w:rPr>
        <w:fldChar w:fldCharType="end"/>
      </w:r>
    </w:p>
    <w:p>
      <w:pPr>
        <w:pStyle w:val="23"/>
        <w:tabs>
          <w:tab w:val="right" w:leader="dot" w:pos="9026"/>
        </w:tabs>
        <w:ind w:left="640" w:firstLine="640"/>
        <w:rPr>
          <w:color w:val="auto"/>
        </w:rPr>
      </w:pPr>
      <w:r>
        <w:rPr>
          <w:color w:val="auto"/>
        </w:rPr>
        <w:fldChar w:fldCharType="begin"/>
      </w:r>
      <w:r>
        <w:rPr>
          <w:color w:val="auto"/>
        </w:rPr>
        <w:instrText xml:space="preserve"> HYPERLINK \l "_Toc9859" </w:instrText>
      </w:r>
      <w:r>
        <w:rPr>
          <w:color w:val="auto"/>
        </w:rPr>
        <w:fldChar w:fldCharType="separate"/>
      </w:r>
      <w:r>
        <w:rPr>
          <w:rFonts w:hint="eastAsia"/>
          <w:color w:val="auto"/>
        </w:rPr>
        <w:t>（七）人员保障</w:t>
      </w:r>
      <w:r>
        <w:rPr>
          <w:color w:val="auto"/>
        </w:rPr>
        <w:tab/>
      </w:r>
      <w:r>
        <w:rPr>
          <w:color w:val="auto"/>
        </w:rPr>
        <w:fldChar w:fldCharType="begin"/>
      </w:r>
      <w:r>
        <w:rPr>
          <w:color w:val="auto"/>
        </w:rPr>
        <w:instrText xml:space="preserve"> PAGEREF _Toc9859 </w:instrText>
      </w:r>
      <w:r>
        <w:rPr>
          <w:color w:val="auto"/>
        </w:rPr>
        <w:fldChar w:fldCharType="separate"/>
      </w:r>
      <w:r>
        <w:rPr>
          <w:color w:val="auto"/>
        </w:rPr>
        <w:t>37</w:t>
      </w:r>
      <w:r>
        <w:rPr>
          <w:color w:val="auto"/>
        </w:rPr>
        <w:fldChar w:fldCharType="end"/>
      </w:r>
      <w:r>
        <w:rPr>
          <w:color w:val="auto"/>
        </w:rPr>
        <w:fldChar w:fldCharType="end"/>
      </w:r>
    </w:p>
    <w:p>
      <w:pPr>
        <w:pStyle w:val="21"/>
        <w:tabs>
          <w:tab w:val="right" w:leader="dot" w:pos="9026"/>
        </w:tabs>
        <w:ind w:firstLine="640"/>
        <w:rPr>
          <w:color w:val="auto"/>
        </w:rPr>
      </w:pPr>
      <w:r>
        <w:rPr>
          <w:color w:val="auto"/>
        </w:rPr>
        <w:fldChar w:fldCharType="begin"/>
      </w:r>
      <w:r>
        <w:rPr>
          <w:color w:val="auto"/>
        </w:rPr>
        <w:instrText xml:space="preserve"> HYPERLINK \l "_Toc25876" </w:instrText>
      </w:r>
      <w:r>
        <w:rPr>
          <w:color w:val="auto"/>
        </w:rPr>
        <w:fldChar w:fldCharType="separate"/>
      </w:r>
      <w:r>
        <w:rPr>
          <w:rFonts w:hint="eastAsia" w:ascii="宋体" w:hAnsi="宋体" w:eastAsia="宋体" w:cs="宋体"/>
          <w:color w:val="auto"/>
        </w:rPr>
        <w:t>附则</w:t>
      </w:r>
      <w:r>
        <w:rPr>
          <w:color w:val="auto"/>
        </w:rPr>
        <w:tab/>
      </w:r>
      <w:r>
        <w:rPr>
          <w:color w:val="auto"/>
        </w:rPr>
        <w:fldChar w:fldCharType="begin"/>
      </w:r>
      <w:r>
        <w:rPr>
          <w:color w:val="auto"/>
        </w:rPr>
        <w:instrText xml:space="preserve"> PAGEREF _Toc25876 </w:instrText>
      </w:r>
      <w:r>
        <w:rPr>
          <w:color w:val="auto"/>
        </w:rPr>
        <w:fldChar w:fldCharType="separate"/>
      </w:r>
      <w:r>
        <w:rPr>
          <w:color w:val="auto"/>
        </w:rPr>
        <w:t>37</w:t>
      </w:r>
      <w:r>
        <w:rPr>
          <w:color w:val="auto"/>
        </w:rPr>
        <w:fldChar w:fldCharType="end"/>
      </w:r>
      <w:r>
        <w:rPr>
          <w:color w:val="auto"/>
        </w:rPr>
        <w:fldChar w:fldCharType="end"/>
      </w:r>
    </w:p>
    <w:p>
      <w:pPr>
        <w:widowControl w:val="0"/>
        <w:ind w:firstLine="640"/>
        <w:rPr>
          <w:color w:val="auto"/>
        </w:rPr>
      </w:pPr>
      <w:r>
        <w:rPr>
          <w:color w:val="auto"/>
        </w:rPr>
        <w:fldChar w:fldCharType="end"/>
      </w:r>
    </w:p>
    <w:sdt>
      <w:sdtPr>
        <w:rPr>
          <w:rFonts w:ascii="宋体" w:hAnsi="宋体" w:eastAsia="宋体"/>
          <w:color w:val="auto"/>
          <w:sz w:val="21"/>
          <w:szCs w:val="24"/>
        </w:rPr>
        <w:id w:val="147468614"/>
        <w15:color w:val="DBDBDB"/>
      </w:sdtPr>
      <w:sdtEndPr>
        <w:rPr>
          <w:rFonts w:hint="eastAsia" w:ascii="仿宋_GB2312" w:hAnsi="宋体" w:eastAsia="仿宋_GB2312"/>
          <w:b/>
          <w:color w:val="auto"/>
          <w:sz w:val="28"/>
          <w:szCs w:val="24"/>
        </w:rPr>
      </w:sdtEndPr>
      <w:sdtContent>
        <w:p>
          <w:pPr>
            <w:widowControl w:val="0"/>
            <w:ind w:firstLine="420"/>
            <w:jc w:val="left"/>
            <w:rPr>
              <w:rFonts w:ascii="宋体" w:hAnsi="宋体" w:eastAsia="宋体"/>
              <w:color w:val="auto"/>
              <w:sz w:val="21"/>
              <w:szCs w:val="24"/>
            </w:rPr>
          </w:pPr>
        </w:p>
        <w:p>
          <w:pPr>
            <w:widowControl w:val="0"/>
            <w:ind w:firstLine="562"/>
            <w:jc w:val="left"/>
            <w:rPr>
              <w:rFonts w:ascii="宋体" w:hAnsi="宋体"/>
              <w:b/>
              <w:color w:val="auto"/>
              <w:szCs w:val="28"/>
            </w:rPr>
          </w:pPr>
        </w:p>
      </w:sdtContent>
    </w:sdt>
    <w:tbl>
      <w:tblPr>
        <w:tblStyle w:val="31"/>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843"/>
        <w:gridCol w:w="510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694" w:hRule="atLeast"/>
          <w:jc w:val="center"/>
        </w:trPr>
        <w:tc>
          <w:tcPr>
            <w:tcW w:w="9072" w:type="dxa"/>
            <w:gridSpan w:val="3"/>
            <w:vAlign w:val="center"/>
          </w:tcPr>
          <w:p>
            <w:pPr>
              <w:widowControl w:val="0"/>
              <w:spacing w:line="240" w:lineRule="auto"/>
              <w:ind w:firstLine="0" w:firstLineChars="0"/>
              <w:jc w:val="center"/>
              <w:rPr>
                <w:rFonts w:ascii="宋体" w:hAnsi="宋体"/>
                <w:b/>
                <w:bCs/>
                <w:color w:val="auto"/>
                <w:sz w:val="24"/>
                <w:szCs w:val="24"/>
              </w:rPr>
            </w:pPr>
            <w:r>
              <w:rPr>
                <w:rFonts w:ascii="宋体" w:hAnsi="宋体"/>
                <w:b/>
                <w:color w:val="auto"/>
                <w:sz w:val="24"/>
                <w:szCs w:val="24"/>
              </w:rPr>
              <w:t>附图目录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694" w:hRule="atLeast"/>
          <w:jc w:val="center"/>
        </w:trPr>
        <w:tc>
          <w:tcPr>
            <w:tcW w:w="1843" w:type="dxa"/>
            <w:vAlign w:val="center"/>
          </w:tcPr>
          <w:p>
            <w:pPr>
              <w:widowControl w:val="0"/>
              <w:spacing w:line="240" w:lineRule="auto"/>
              <w:ind w:firstLine="0" w:firstLineChars="0"/>
              <w:jc w:val="center"/>
              <w:rPr>
                <w:rFonts w:ascii="宋体" w:hAnsi="宋体"/>
                <w:b/>
                <w:bCs/>
                <w:color w:val="auto"/>
                <w:sz w:val="24"/>
                <w:szCs w:val="24"/>
              </w:rPr>
            </w:pPr>
            <w:r>
              <w:rPr>
                <w:rFonts w:ascii="宋体" w:hAnsi="宋体"/>
                <w:b/>
                <w:bCs/>
                <w:color w:val="auto"/>
                <w:sz w:val="24"/>
                <w:szCs w:val="24"/>
              </w:rPr>
              <w:t>图</w:t>
            </w:r>
            <w:r>
              <w:rPr>
                <w:rFonts w:hint="eastAsia" w:ascii="宋体" w:hAnsi="宋体"/>
                <w:b/>
                <w:bCs/>
                <w:color w:val="auto"/>
                <w:sz w:val="24"/>
                <w:szCs w:val="24"/>
              </w:rPr>
              <w:t xml:space="preserve">  </w:t>
            </w:r>
            <w:r>
              <w:rPr>
                <w:rFonts w:ascii="宋体" w:hAnsi="宋体"/>
                <w:b/>
                <w:bCs/>
                <w:color w:val="auto"/>
                <w:sz w:val="24"/>
                <w:szCs w:val="24"/>
              </w:rPr>
              <w:t>号</w:t>
            </w:r>
          </w:p>
        </w:tc>
        <w:tc>
          <w:tcPr>
            <w:tcW w:w="5103" w:type="dxa"/>
            <w:tcMar>
              <w:left w:w="23" w:type="dxa"/>
              <w:right w:w="23" w:type="dxa"/>
            </w:tcMar>
            <w:vAlign w:val="center"/>
          </w:tcPr>
          <w:p>
            <w:pPr>
              <w:widowControl w:val="0"/>
              <w:spacing w:line="240" w:lineRule="auto"/>
              <w:ind w:firstLine="0" w:firstLineChars="0"/>
              <w:jc w:val="center"/>
              <w:rPr>
                <w:rFonts w:ascii="宋体" w:hAnsi="宋体"/>
                <w:b/>
                <w:bCs/>
                <w:color w:val="auto"/>
                <w:sz w:val="24"/>
                <w:szCs w:val="24"/>
              </w:rPr>
            </w:pPr>
            <w:r>
              <w:rPr>
                <w:rFonts w:ascii="宋体" w:hAnsi="宋体"/>
                <w:b/>
                <w:bCs/>
                <w:color w:val="auto"/>
                <w:sz w:val="24"/>
                <w:szCs w:val="24"/>
              </w:rPr>
              <w:t>图  名</w:t>
            </w:r>
          </w:p>
        </w:tc>
        <w:tc>
          <w:tcPr>
            <w:tcW w:w="2126" w:type="dxa"/>
            <w:tcMar>
              <w:left w:w="23" w:type="dxa"/>
              <w:right w:w="23" w:type="dxa"/>
            </w:tcMar>
            <w:vAlign w:val="center"/>
          </w:tcPr>
          <w:p>
            <w:pPr>
              <w:widowControl w:val="0"/>
              <w:spacing w:line="240" w:lineRule="auto"/>
              <w:ind w:firstLine="0" w:firstLineChars="0"/>
              <w:jc w:val="center"/>
              <w:rPr>
                <w:rFonts w:ascii="宋体" w:hAnsi="宋体"/>
                <w:b/>
                <w:bCs/>
                <w:color w:val="auto"/>
                <w:sz w:val="24"/>
                <w:szCs w:val="24"/>
              </w:rPr>
            </w:pPr>
            <w:r>
              <w:rPr>
                <w:rFonts w:ascii="宋体" w:hAnsi="宋体"/>
                <w:b/>
                <w:bCs/>
                <w:color w:val="auto"/>
                <w:sz w:val="24"/>
                <w:szCs w:val="24"/>
              </w:rPr>
              <w:t>比 例 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681" w:hRule="atLeas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hint="eastAsia" w:ascii="Times New Roman" w:hAnsi="Times New Roman"/>
                <w:color w:val="auto"/>
                <w:sz w:val="24"/>
                <w:szCs w:val="24"/>
              </w:rPr>
              <w:t>1</w:t>
            </w:r>
          </w:p>
        </w:tc>
        <w:tc>
          <w:tcPr>
            <w:tcW w:w="5103" w:type="dxa"/>
            <w:tcMar>
              <w:left w:w="23" w:type="dxa"/>
              <w:right w:w="23" w:type="dxa"/>
            </w:tcMar>
            <w:vAlign w:val="center"/>
          </w:tcPr>
          <w:p>
            <w:pPr>
              <w:widowControl w:val="0"/>
              <w:spacing w:line="240" w:lineRule="auto"/>
              <w:ind w:firstLine="0" w:firstLineChars="0"/>
              <w:jc w:val="center"/>
              <w:rPr>
                <w:rFonts w:ascii="宋体" w:hAnsi="宋体"/>
                <w:color w:val="auto"/>
                <w:sz w:val="24"/>
                <w:szCs w:val="24"/>
              </w:rPr>
            </w:pPr>
            <w:r>
              <w:rPr>
                <w:rFonts w:hint="eastAsia" w:ascii="宋体" w:hAnsi="宋体"/>
                <w:color w:val="auto"/>
                <w:sz w:val="24"/>
                <w:szCs w:val="24"/>
              </w:rPr>
              <w:t>勐海县</w:t>
            </w:r>
            <w:r>
              <w:rPr>
                <w:rFonts w:hint="eastAsia" w:ascii="Times New Roman" w:hAnsi="Times New Roman"/>
                <w:color w:val="auto"/>
                <w:sz w:val="24"/>
                <w:szCs w:val="24"/>
              </w:rPr>
              <w:t>2</w:t>
            </w:r>
            <w:r>
              <w:rPr>
                <w:rFonts w:ascii="Times New Roman" w:hAnsi="Times New Roman"/>
                <w:color w:val="auto"/>
                <w:sz w:val="24"/>
                <w:szCs w:val="24"/>
              </w:rPr>
              <w:t>021</w:t>
            </w:r>
            <w:r>
              <w:rPr>
                <w:rFonts w:ascii="宋体" w:hAnsi="宋体"/>
                <w:color w:val="auto"/>
                <w:sz w:val="24"/>
                <w:szCs w:val="24"/>
              </w:rPr>
              <w:t>-</w:t>
            </w:r>
            <w:r>
              <w:rPr>
                <w:rFonts w:ascii="Times New Roman" w:hAnsi="Times New Roman"/>
                <w:color w:val="auto"/>
                <w:sz w:val="24"/>
                <w:szCs w:val="24"/>
              </w:rPr>
              <w:t>2025</w:t>
            </w:r>
            <w:r>
              <w:rPr>
                <w:rFonts w:hint="eastAsia" w:ascii="宋体" w:hAnsi="宋体"/>
                <w:color w:val="auto"/>
                <w:sz w:val="24"/>
                <w:szCs w:val="24"/>
              </w:rPr>
              <w:t>年地质灾害防治规划图</w:t>
            </w:r>
          </w:p>
        </w:tc>
        <w:tc>
          <w:tcPr>
            <w:tcW w:w="2126"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Times New Roman" w:hAnsi="Times New Roman"/>
                <w:bCs/>
                <w:color w:val="auto"/>
                <w:sz w:val="24"/>
                <w:szCs w:val="24"/>
              </w:rPr>
              <w:t>1</w:t>
            </w:r>
            <w:r>
              <w:rPr>
                <w:rFonts w:hint="eastAsia" w:ascii="宋体" w:hAnsi="宋体"/>
                <w:bCs/>
                <w:color w:val="auto"/>
                <w:sz w:val="24"/>
                <w:szCs w:val="24"/>
              </w:rPr>
              <w:t>：</w:t>
            </w:r>
            <w:r>
              <w:rPr>
                <w:rFonts w:hint="eastAsia" w:ascii="Times New Roman" w:hAnsi="Times New Roman"/>
                <w:bCs/>
                <w:color w:val="auto"/>
                <w:sz w:val="24"/>
                <w:szCs w:val="24"/>
              </w:rPr>
              <w:t>1</w:t>
            </w:r>
            <w:r>
              <w:rPr>
                <w:rFonts w:ascii="Times New Roman" w:hAnsi="Times New Roman"/>
                <w:bCs/>
                <w:color w:val="auto"/>
                <w:sz w:val="24"/>
                <w:szCs w:val="24"/>
              </w:rPr>
              <w:t>00000</w:t>
            </w:r>
          </w:p>
        </w:tc>
      </w:tr>
    </w:tbl>
    <w:p>
      <w:pPr>
        <w:widowControl w:val="0"/>
        <w:ind w:firstLine="0" w:firstLineChars="0"/>
        <w:jc w:val="center"/>
        <w:rPr>
          <w:rFonts w:ascii="宋体" w:hAnsi="宋体"/>
          <w:color w:val="auto"/>
          <w:szCs w:val="28"/>
        </w:rPr>
      </w:pPr>
    </w:p>
    <w:tbl>
      <w:tblPr>
        <w:tblStyle w:val="31"/>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843"/>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694" w:hRule="atLeast"/>
          <w:jc w:val="center"/>
        </w:trPr>
        <w:tc>
          <w:tcPr>
            <w:tcW w:w="9072" w:type="dxa"/>
            <w:gridSpan w:val="2"/>
            <w:vAlign w:val="center"/>
          </w:tcPr>
          <w:p>
            <w:pPr>
              <w:widowControl w:val="0"/>
              <w:spacing w:line="240" w:lineRule="auto"/>
              <w:ind w:firstLine="0" w:firstLineChars="0"/>
              <w:jc w:val="center"/>
              <w:rPr>
                <w:rFonts w:ascii="宋体" w:hAnsi="宋体"/>
                <w:b/>
                <w:bCs/>
                <w:color w:val="auto"/>
                <w:sz w:val="24"/>
                <w:szCs w:val="24"/>
              </w:rPr>
            </w:pPr>
            <w:r>
              <w:rPr>
                <w:rFonts w:ascii="宋体" w:hAnsi="宋体"/>
                <w:b/>
                <w:color w:val="auto"/>
                <w:sz w:val="24"/>
                <w:szCs w:val="24"/>
              </w:rPr>
              <w:t>附表目录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b/>
                <w:color w:val="auto"/>
                <w:sz w:val="24"/>
                <w:szCs w:val="24"/>
              </w:rPr>
            </w:pPr>
            <w:r>
              <w:rPr>
                <w:rFonts w:ascii="宋体" w:hAnsi="宋体"/>
                <w:b/>
                <w:color w:val="auto"/>
                <w:sz w:val="24"/>
                <w:szCs w:val="24"/>
              </w:rPr>
              <w:t>编</w:t>
            </w:r>
            <w:r>
              <w:rPr>
                <w:rFonts w:hint="eastAsia" w:ascii="宋体" w:hAnsi="宋体"/>
                <w:b/>
                <w:color w:val="auto"/>
                <w:sz w:val="24"/>
                <w:szCs w:val="24"/>
              </w:rPr>
              <w:t xml:space="preserve">  </w:t>
            </w:r>
            <w:r>
              <w:rPr>
                <w:rFonts w:ascii="宋体" w:hAnsi="宋体"/>
                <w:b/>
                <w:color w:val="auto"/>
                <w:sz w:val="24"/>
                <w:szCs w:val="24"/>
              </w:rPr>
              <w:t>号</w:t>
            </w:r>
          </w:p>
        </w:tc>
        <w:tc>
          <w:tcPr>
            <w:tcW w:w="7229" w:type="dxa"/>
            <w:tcMar>
              <w:left w:w="23" w:type="dxa"/>
              <w:right w:w="23" w:type="dxa"/>
            </w:tcMar>
            <w:vAlign w:val="center"/>
          </w:tcPr>
          <w:p>
            <w:pPr>
              <w:widowControl w:val="0"/>
              <w:spacing w:line="240" w:lineRule="auto"/>
              <w:ind w:firstLine="0" w:firstLineChars="0"/>
              <w:jc w:val="center"/>
              <w:rPr>
                <w:rFonts w:ascii="宋体" w:hAnsi="宋体"/>
                <w:b/>
                <w:bCs/>
                <w:color w:val="auto"/>
                <w:sz w:val="24"/>
                <w:szCs w:val="24"/>
              </w:rPr>
            </w:pPr>
            <w:r>
              <w:rPr>
                <w:rFonts w:ascii="宋体" w:hAnsi="宋体"/>
                <w:b/>
                <w:color w:val="auto"/>
                <w:sz w:val="24"/>
                <w:szCs w:val="24"/>
              </w:rPr>
              <w:t>名</w:t>
            </w:r>
            <w:r>
              <w:rPr>
                <w:rFonts w:hint="eastAsia" w:ascii="宋体" w:hAnsi="宋体"/>
                <w:b/>
                <w:color w:val="auto"/>
                <w:sz w:val="24"/>
                <w:szCs w:val="24"/>
              </w:rPr>
              <w:t xml:space="preserve">  </w:t>
            </w:r>
            <w:r>
              <w:rPr>
                <w:rFonts w:ascii="宋体" w:hAnsi="宋体"/>
                <w:b/>
                <w:color w:val="auto"/>
                <w:sz w:val="24"/>
                <w:szCs w:val="24"/>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1</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勐海县勐海县地质灾害隐患点一览表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2</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勐海县勐海县地质灾害隐患基本情况汇总表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3</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勐海县勐海县地质灾害工程治理项目规划表（</w:t>
            </w:r>
            <w:r>
              <w:rPr>
                <w:rFonts w:hint="eastAsia" w:ascii="Times New Roman" w:hAnsi="Times New Roman"/>
                <w:bCs/>
                <w:color w:val="auto"/>
                <w:sz w:val="24"/>
                <w:szCs w:val="24"/>
              </w:rPr>
              <w:t>2021</w:t>
            </w:r>
            <w:r>
              <w:rPr>
                <w:rFonts w:hint="eastAsia" w:ascii="宋体" w:hAnsi="宋体"/>
                <w:bCs/>
                <w:color w:val="auto"/>
                <w:sz w:val="24"/>
                <w:szCs w:val="24"/>
              </w:rPr>
              <w:t>-</w:t>
            </w:r>
            <w:r>
              <w:rPr>
                <w:rFonts w:hint="eastAsia" w:ascii="Times New Roman" w:hAnsi="Times New Roman"/>
                <w:bCs/>
                <w:color w:val="auto"/>
                <w:sz w:val="24"/>
                <w:szCs w:val="24"/>
              </w:rPr>
              <w:t>2025</w:t>
            </w:r>
            <w:r>
              <w:rPr>
                <w:rFonts w:hint="eastAsia" w:ascii="宋体" w:hAnsi="宋体"/>
                <w:bCs/>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4</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勐海县勐海县因地质灾害搬迁避让项目规划表（</w:t>
            </w:r>
            <w:r>
              <w:rPr>
                <w:rFonts w:hint="eastAsia" w:ascii="Times New Roman" w:hAnsi="Times New Roman"/>
                <w:bCs/>
                <w:color w:val="auto"/>
                <w:sz w:val="24"/>
                <w:szCs w:val="24"/>
              </w:rPr>
              <w:t>2021</w:t>
            </w:r>
            <w:r>
              <w:rPr>
                <w:rFonts w:hint="eastAsia" w:ascii="宋体" w:hAnsi="宋体"/>
                <w:bCs/>
                <w:color w:val="auto"/>
                <w:sz w:val="24"/>
                <w:szCs w:val="24"/>
              </w:rPr>
              <w:t>-</w:t>
            </w:r>
            <w:r>
              <w:rPr>
                <w:rFonts w:hint="eastAsia" w:ascii="Times New Roman" w:hAnsi="Times New Roman"/>
                <w:bCs/>
                <w:color w:val="auto"/>
                <w:sz w:val="24"/>
                <w:szCs w:val="24"/>
              </w:rPr>
              <w:t>2025</w:t>
            </w:r>
            <w:r>
              <w:rPr>
                <w:rFonts w:hint="eastAsia" w:ascii="宋体" w:hAnsi="宋体"/>
                <w:bCs/>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5</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勐海县勐海县地质灾害监测预警项目规划表（</w:t>
            </w:r>
            <w:r>
              <w:rPr>
                <w:rFonts w:hint="eastAsia" w:ascii="Times New Roman" w:hAnsi="Times New Roman"/>
                <w:bCs/>
                <w:color w:val="auto"/>
                <w:sz w:val="24"/>
                <w:szCs w:val="24"/>
              </w:rPr>
              <w:t>2021</w:t>
            </w:r>
            <w:r>
              <w:rPr>
                <w:rFonts w:hint="eastAsia" w:ascii="宋体" w:hAnsi="宋体"/>
                <w:bCs/>
                <w:color w:val="auto"/>
                <w:sz w:val="24"/>
                <w:szCs w:val="24"/>
              </w:rPr>
              <w:t>-</w:t>
            </w:r>
            <w:r>
              <w:rPr>
                <w:rFonts w:hint="eastAsia" w:ascii="Times New Roman" w:hAnsi="Times New Roman"/>
                <w:bCs/>
                <w:color w:val="auto"/>
                <w:sz w:val="24"/>
                <w:szCs w:val="24"/>
              </w:rPr>
              <w:t>2025</w:t>
            </w:r>
            <w:r>
              <w:rPr>
                <w:rFonts w:hint="eastAsia" w:ascii="宋体" w:hAnsi="宋体"/>
                <w:bCs/>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6</w:t>
            </w:r>
          </w:p>
        </w:tc>
        <w:tc>
          <w:tcPr>
            <w:tcW w:w="7229" w:type="dxa"/>
            <w:tcMar>
              <w:left w:w="23" w:type="dxa"/>
              <w:right w:w="23" w:type="dxa"/>
            </w:tcMar>
            <w:vAlign w:val="center"/>
          </w:tcPr>
          <w:p>
            <w:pPr>
              <w:widowControl w:val="0"/>
              <w:spacing w:line="240" w:lineRule="auto"/>
              <w:ind w:firstLine="0" w:firstLineChars="0"/>
              <w:jc w:val="center"/>
              <w:rPr>
                <w:rFonts w:ascii="宋体" w:hAnsi="宋体"/>
                <w:bCs/>
                <w:color w:val="auto"/>
                <w:sz w:val="24"/>
                <w:szCs w:val="24"/>
              </w:rPr>
            </w:pPr>
            <w:r>
              <w:rPr>
                <w:rFonts w:hint="eastAsia" w:ascii="宋体" w:hAnsi="宋体"/>
                <w:bCs/>
                <w:color w:val="auto"/>
                <w:sz w:val="24"/>
                <w:szCs w:val="24"/>
              </w:rPr>
              <w:t>勐海县勐海县地质灾害隐患点规划表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54" w:hRule="exact"/>
          <w:jc w:val="center"/>
        </w:trPr>
        <w:tc>
          <w:tcPr>
            <w:tcW w:w="1843" w:type="dxa"/>
            <w:vAlign w:val="center"/>
          </w:tcPr>
          <w:p>
            <w:pPr>
              <w:widowControl w:val="0"/>
              <w:spacing w:line="240" w:lineRule="auto"/>
              <w:ind w:firstLine="0" w:firstLineChars="0"/>
              <w:jc w:val="center"/>
              <w:rPr>
                <w:rFonts w:ascii="宋体" w:hAnsi="宋体"/>
                <w:color w:val="auto"/>
                <w:sz w:val="24"/>
                <w:szCs w:val="24"/>
              </w:rPr>
            </w:pPr>
            <w:r>
              <w:rPr>
                <w:rFonts w:ascii="宋体" w:hAnsi="宋体"/>
                <w:color w:val="auto"/>
                <w:sz w:val="24"/>
                <w:szCs w:val="24"/>
              </w:rPr>
              <w:t>附表</w:t>
            </w:r>
            <w:r>
              <w:rPr>
                <w:rFonts w:hint="eastAsia" w:ascii="Times New Roman" w:hAnsi="Times New Roman"/>
                <w:color w:val="auto"/>
                <w:sz w:val="24"/>
                <w:szCs w:val="24"/>
              </w:rPr>
              <w:t>7</w:t>
            </w:r>
          </w:p>
        </w:tc>
        <w:tc>
          <w:tcPr>
            <w:tcW w:w="7229" w:type="dxa"/>
            <w:tcMar>
              <w:left w:w="23" w:type="dxa"/>
              <w:right w:w="23" w:type="dxa"/>
            </w:tcMar>
            <w:vAlign w:val="center"/>
          </w:tcPr>
          <w:p>
            <w:pPr>
              <w:widowControl w:val="0"/>
              <w:tabs>
                <w:tab w:val="center" w:pos="3651"/>
                <w:tab w:val="left" w:pos="6396"/>
              </w:tabs>
              <w:spacing w:line="240" w:lineRule="auto"/>
              <w:ind w:firstLine="0" w:firstLineChars="0"/>
              <w:jc w:val="left"/>
              <w:rPr>
                <w:rFonts w:ascii="宋体" w:hAnsi="宋体"/>
                <w:bCs/>
                <w:color w:val="auto"/>
                <w:sz w:val="24"/>
                <w:szCs w:val="24"/>
              </w:rPr>
            </w:pPr>
            <w:r>
              <w:rPr>
                <w:rFonts w:hint="eastAsia" w:ascii="宋体" w:hAnsi="宋体"/>
                <w:bCs/>
                <w:color w:val="auto"/>
                <w:sz w:val="24"/>
                <w:szCs w:val="24"/>
              </w:rPr>
              <w:tab/>
            </w:r>
            <w:r>
              <w:rPr>
                <w:rFonts w:hint="eastAsia" w:ascii="宋体" w:hAnsi="宋体"/>
                <w:bCs/>
                <w:color w:val="auto"/>
                <w:sz w:val="24"/>
                <w:szCs w:val="24"/>
              </w:rPr>
              <w:t>勐海县勐海县地质灾害防治经费需求匡算表</w:t>
            </w:r>
            <w:r>
              <w:rPr>
                <w:rFonts w:hint="eastAsia" w:ascii="宋体" w:hAnsi="宋体"/>
                <w:bCs/>
                <w:color w:val="auto"/>
                <w:sz w:val="24"/>
                <w:szCs w:val="24"/>
              </w:rPr>
              <w:tab/>
            </w:r>
          </w:p>
        </w:tc>
      </w:tr>
    </w:tbl>
    <w:p>
      <w:pPr>
        <w:widowControl w:val="0"/>
        <w:ind w:firstLine="640"/>
        <w:jc w:val="left"/>
        <w:rPr>
          <w:rFonts w:ascii="宋体" w:hAnsi="宋体"/>
          <w:color w:val="auto"/>
          <w:szCs w:val="24"/>
        </w:rPr>
      </w:pPr>
    </w:p>
    <w:p>
      <w:pPr>
        <w:ind w:firstLine="480" w:firstLineChars="150"/>
        <w:rPr>
          <w:color w:val="auto"/>
        </w:rPr>
      </w:pPr>
      <w:r>
        <w:rPr>
          <w:rFonts w:ascii="宋体" w:hAnsi="宋体"/>
          <w:color w:val="auto"/>
          <w:szCs w:val="24"/>
        </w:rPr>
        <w:t>附件：</w:t>
      </w:r>
      <w:r>
        <w:rPr>
          <w:rFonts w:hint="eastAsia" w:ascii="Times New Roman" w:hAnsi="Times New Roman"/>
          <w:color w:val="auto"/>
          <w:szCs w:val="24"/>
        </w:rPr>
        <w:t>1</w:t>
      </w:r>
      <w:r>
        <w:rPr>
          <w:rFonts w:hint="eastAsia" w:ascii="宋体" w:hAnsi="宋体"/>
          <w:color w:val="auto"/>
          <w:szCs w:val="24"/>
        </w:rPr>
        <w:t>.</w:t>
      </w:r>
      <w:r>
        <w:rPr>
          <w:rFonts w:ascii="宋体" w:hAnsi="宋体"/>
          <w:color w:val="auto"/>
          <w:szCs w:val="24"/>
        </w:rPr>
        <w:t>规划编制说明</w:t>
      </w:r>
      <w:r>
        <w:rPr>
          <w:color w:val="auto"/>
        </w:rPr>
        <w:t>（单独成册）</w:t>
      </w:r>
    </w:p>
    <w:p>
      <w:pPr>
        <w:widowControl w:val="0"/>
        <w:ind w:firstLine="640"/>
        <w:jc w:val="left"/>
        <w:rPr>
          <w:color w:val="auto"/>
        </w:rPr>
        <w:sectPr>
          <w:headerReference r:id="rId9" w:type="default"/>
          <w:footerReference r:id="rId10" w:type="default"/>
          <w:pgSz w:w="11906" w:h="16838"/>
          <w:pgMar w:top="1440" w:right="1440" w:bottom="1440" w:left="1440" w:header="851" w:footer="992" w:gutter="0"/>
          <w:pgNumType w:fmt="upperRoman" w:start="1"/>
          <w:cols w:space="425" w:num="1"/>
          <w:docGrid w:type="lines" w:linePitch="312" w:charSpace="0"/>
        </w:sectPr>
      </w:pPr>
    </w:p>
    <w:p>
      <w:pPr>
        <w:pStyle w:val="3"/>
        <w:numPr>
          <w:ilvl w:val="0"/>
          <w:numId w:val="0"/>
        </w:numPr>
        <w:ind w:left="640" w:leftChars="200"/>
        <w:rPr>
          <w:color w:val="auto"/>
        </w:rPr>
      </w:pPr>
      <w:bookmarkStart w:id="5" w:name="_Toc25990"/>
      <w:r>
        <w:rPr>
          <w:rFonts w:hint="eastAsia"/>
          <w:color w:val="auto"/>
        </w:rPr>
        <w:t>一、前言</w:t>
      </w:r>
      <w:bookmarkEnd w:id="5"/>
    </w:p>
    <w:p>
      <w:pPr>
        <w:ind w:firstLine="640"/>
        <w:rPr>
          <w:color w:val="auto"/>
        </w:rPr>
      </w:pPr>
      <w:r>
        <w:rPr>
          <w:rFonts w:hint="eastAsia"/>
          <w:color w:val="auto"/>
        </w:rPr>
        <w:t>党的十八大以来，党和国家对地质灾害防治工作提出了更高要求，习近平总书记多次就防灾减灾抗灾救灾工作发表重要讲话，对防灾减灾抗灾救灾多次做出重要论述和批示指示。党的十九大报告提出了要加强地质灾害防治，牢固树立地质灾害防治是“生命工程”、“民生工程” 的思想，对地方政府做好地质灾害防治提出了新的更高要求。</w:t>
      </w:r>
    </w:p>
    <w:p>
      <w:pPr>
        <w:ind w:firstLine="640"/>
        <w:rPr>
          <w:color w:val="auto"/>
        </w:rPr>
      </w:pPr>
      <w:r>
        <w:rPr>
          <w:rFonts w:hint="eastAsia"/>
          <w:color w:val="auto"/>
        </w:rPr>
        <w:t>为认真贯彻落实党的十九届五中全会精神以及《云南省国民经济和社会发展第十四个五年规划和二〇三五年远景目标纲要》要求，结合我县地质灾害防治现状，编制我县地质灾害防治 “十四五 ” 规划(</w:t>
      </w:r>
      <w:r>
        <w:rPr>
          <w:rFonts w:hint="eastAsia" w:ascii="Times New Roman" w:hAnsi="Times New Roman"/>
          <w:color w:val="auto"/>
        </w:rPr>
        <w:t>2021</w:t>
      </w:r>
      <w:r>
        <w:rPr>
          <w:rFonts w:hint="eastAsia"/>
          <w:color w:val="auto"/>
        </w:rPr>
        <w:t>-</w:t>
      </w:r>
      <w:r>
        <w:rPr>
          <w:rFonts w:hint="eastAsia" w:ascii="Times New Roman" w:hAnsi="Times New Roman"/>
          <w:color w:val="auto"/>
        </w:rPr>
        <w:t>2025</w:t>
      </w:r>
      <w:r>
        <w:rPr>
          <w:rFonts w:hint="eastAsia"/>
          <w:color w:val="auto"/>
        </w:rPr>
        <w:t>年）（以下简称《规划》）。在巩固前期工作成果的基础上，从全局和长远的角度，对未来</w:t>
      </w:r>
      <w:r>
        <w:rPr>
          <w:rFonts w:hint="eastAsia" w:ascii="Times New Roman" w:hAnsi="Times New Roman"/>
          <w:color w:val="auto"/>
        </w:rPr>
        <w:t>5</w:t>
      </w:r>
      <w:r>
        <w:rPr>
          <w:rFonts w:hint="eastAsia"/>
          <w:color w:val="auto"/>
        </w:rPr>
        <w:t>年的地质灾害防治工作进行统筹规划，对工作目标、工作任务、工作措施进行有效优化调整，推进关口前移，加强灾前防御、综合施策、有效减轻灾害风险。</w:t>
      </w:r>
    </w:p>
    <w:p>
      <w:pPr>
        <w:ind w:firstLine="640"/>
        <w:rPr>
          <w:rFonts w:ascii="Times New Roman"/>
          <w:color w:val="auto"/>
        </w:rPr>
      </w:pPr>
      <w:r>
        <w:rPr>
          <w:rFonts w:ascii="Times New Roman"/>
          <w:color w:val="auto"/>
        </w:rPr>
        <w:t>规划基准年为</w:t>
      </w:r>
      <w:r>
        <w:rPr>
          <w:rFonts w:ascii="Times New Roman" w:hAnsi="Times New Roman"/>
          <w:color w:val="auto"/>
        </w:rPr>
        <w:t>20</w:t>
      </w:r>
      <w:r>
        <w:rPr>
          <w:rFonts w:hint="eastAsia" w:ascii="Times New Roman" w:hAnsi="Times New Roman"/>
          <w:color w:val="auto"/>
        </w:rPr>
        <w:t>20</w:t>
      </w:r>
      <w:r>
        <w:rPr>
          <w:rFonts w:ascii="Times New Roman"/>
          <w:color w:val="auto"/>
        </w:rPr>
        <w:t>年，以</w:t>
      </w:r>
      <w:r>
        <w:rPr>
          <w:rFonts w:ascii="Times New Roman" w:hAnsi="Times New Roman"/>
          <w:color w:val="auto"/>
        </w:rPr>
        <w:t>20</w:t>
      </w:r>
      <w:r>
        <w:rPr>
          <w:rFonts w:hint="eastAsia" w:ascii="Times New Roman" w:hAnsi="Times New Roman"/>
          <w:color w:val="auto"/>
        </w:rPr>
        <w:t>21</w:t>
      </w:r>
      <w:r>
        <w:rPr>
          <w:rFonts w:ascii="Times New Roman"/>
          <w:color w:val="auto"/>
        </w:rPr>
        <w:t>-</w:t>
      </w:r>
      <w:r>
        <w:rPr>
          <w:rFonts w:ascii="Times New Roman" w:hAnsi="Times New Roman"/>
          <w:color w:val="auto"/>
        </w:rPr>
        <w:t>202</w:t>
      </w:r>
      <w:r>
        <w:rPr>
          <w:rFonts w:hint="eastAsia" w:ascii="Times New Roman" w:hAnsi="Times New Roman"/>
          <w:color w:val="auto"/>
        </w:rPr>
        <w:t>5</w:t>
      </w:r>
      <w:r>
        <w:rPr>
          <w:rFonts w:ascii="Times New Roman"/>
          <w:color w:val="auto"/>
        </w:rPr>
        <w:t>年为规划期。规划范围为</w:t>
      </w:r>
      <w:r>
        <w:rPr>
          <w:rFonts w:hint="eastAsia" w:ascii="Times New Roman"/>
          <w:color w:val="auto"/>
        </w:rPr>
        <w:t>勐海县，国土面积</w:t>
      </w:r>
      <w:r>
        <w:rPr>
          <w:rFonts w:hint="eastAsia" w:ascii="Times New Roman" w:hAnsi="Times New Roman"/>
          <w:color w:val="auto"/>
        </w:rPr>
        <w:t>5371</w:t>
      </w:r>
      <w:r>
        <w:rPr>
          <w:rFonts w:hint="eastAsia" w:ascii="Times New Roman"/>
          <w:color w:val="auto"/>
        </w:rPr>
        <w:t>km</w:t>
      </w:r>
      <w:r>
        <w:rPr>
          <w:rFonts w:hint="eastAsia" w:ascii="Times New Roman" w:hAnsi="Times New Roman"/>
          <w:color w:val="auto"/>
          <w:vertAlign w:val="superscript"/>
        </w:rPr>
        <w:t>2</w:t>
      </w:r>
      <w:r>
        <w:rPr>
          <w:rFonts w:hint="eastAsia" w:ascii="Times New Roman"/>
          <w:color w:val="auto"/>
        </w:rPr>
        <w:t>。</w:t>
      </w:r>
      <w:bookmarkStart w:id="6" w:name="_Toc58933912"/>
    </w:p>
    <w:p>
      <w:pPr>
        <w:pStyle w:val="3"/>
        <w:numPr>
          <w:ilvl w:val="0"/>
          <w:numId w:val="0"/>
        </w:numPr>
        <w:ind w:left="640" w:leftChars="200"/>
        <w:rPr>
          <w:color w:val="auto"/>
        </w:rPr>
      </w:pPr>
      <w:bookmarkStart w:id="7" w:name="_Toc24521"/>
      <w:r>
        <w:rPr>
          <w:rFonts w:hint="eastAsia"/>
          <w:color w:val="auto"/>
        </w:rPr>
        <w:t>二、地质灾害防治现状与形势</w:t>
      </w:r>
      <w:bookmarkEnd w:id="6"/>
      <w:bookmarkEnd w:id="7"/>
    </w:p>
    <w:p>
      <w:pPr>
        <w:pStyle w:val="4"/>
        <w:ind w:firstLine="640"/>
        <w:rPr>
          <w:color w:val="auto"/>
        </w:rPr>
      </w:pPr>
      <w:bookmarkStart w:id="8" w:name="_Toc58933913"/>
      <w:bookmarkStart w:id="9" w:name="_Toc550"/>
      <w:r>
        <w:rPr>
          <w:rFonts w:hint="eastAsia"/>
          <w:color w:val="auto"/>
        </w:rPr>
        <w:t>（一）地质灾害现状</w:t>
      </w:r>
      <w:bookmarkEnd w:id="8"/>
      <w:bookmarkEnd w:id="9"/>
    </w:p>
    <w:p>
      <w:pPr>
        <w:ind w:firstLine="640"/>
        <w:rPr>
          <w:color w:val="auto"/>
        </w:rPr>
      </w:pPr>
      <w:bookmarkStart w:id="10" w:name="_Toc58933914"/>
      <w:r>
        <w:rPr>
          <w:rFonts w:hint="eastAsia"/>
          <w:color w:val="auto"/>
        </w:rPr>
        <w:t>经过本次调查，截止</w:t>
      </w:r>
      <w:r>
        <w:rPr>
          <w:rFonts w:hint="eastAsia" w:ascii="Times New Roman" w:hAnsi="Times New Roman"/>
          <w:color w:val="auto"/>
        </w:rPr>
        <w:t>2020</w:t>
      </w:r>
      <w:r>
        <w:rPr>
          <w:rFonts w:hint="eastAsia"/>
          <w:color w:val="auto"/>
        </w:rPr>
        <w:t>年</w:t>
      </w:r>
      <w:r>
        <w:rPr>
          <w:rFonts w:hint="eastAsia" w:ascii="Times New Roman" w:hAnsi="Times New Roman"/>
          <w:color w:val="auto"/>
        </w:rPr>
        <w:t>10</w:t>
      </w:r>
      <w:r>
        <w:rPr>
          <w:rFonts w:hint="eastAsia"/>
          <w:color w:val="auto"/>
        </w:rPr>
        <w:t>月，勐海县境内现有对人民生命财产有危害的隐患点共</w:t>
      </w:r>
      <w:r>
        <w:rPr>
          <w:rFonts w:hint="eastAsia" w:ascii="Times New Roman" w:hAnsi="Times New Roman"/>
          <w:color w:val="auto"/>
        </w:rPr>
        <w:t>44</w:t>
      </w:r>
      <w:r>
        <w:rPr>
          <w:rFonts w:hint="eastAsia"/>
          <w:color w:val="auto"/>
        </w:rPr>
        <w:t>处，按地质灾害类型划分：滑坡</w:t>
      </w:r>
      <w:r>
        <w:rPr>
          <w:rFonts w:hint="eastAsia" w:ascii="Times New Roman" w:hAnsi="Times New Roman"/>
          <w:color w:val="auto"/>
        </w:rPr>
        <w:t>40</w:t>
      </w:r>
      <w:r>
        <w:rPr>
          <w:rFonts w:hint="eastAsia"/>
          <w:color w:val="auto"/>
        </w:rPr>
        <w:t>处，崩塌</w:t>
      </w:r>
      <w:r>
        <w:rPr>
          <w:rFonts w:hint="eastAsia" w:ascii="Times New Roman" w:hAnsi="Times New Roman"/>
          <w:color w:val="auto"/>
        </w:rPr>
        <w:t>1</w:t>
      </w:r>
      <w:r>
        <w:rPr>
          <w:rFonts w:hint="eastAsia"/>
          <w:color w:val="auto"/>
        </w:rPr>
        <w:t>处，泥石流沟</w:t>
      </w:r>
      <w:r>
        <w:rPr>
          <w:rFonts w:hint="eastAsia" w:ascii="Times New Roman" w:hAnsi="Times New Roman"/>
          <w:color w:val="auto"/>
        </w:rPr>
        <w:t>3</w:t>
      </w:r>
      <w:r>
        <w:rPr>
          <w:rFonts w:hint="eastAsia"/>
          <w:color w:val="auto"/>
        </w:rPr>
        <w:t>条；按地质灾害险情等级划分：特大型</w:t>
      </w:r>
      <w:r>
        <w:rPr>
          <w:rFonts w:hint="eastAsia" w:ascii="Times New Roman" w:hAnsi="Times New Roman"/>
          <w:color w:val="auto"/>
        </w:rPr>
        <w:t>1</w:t>
      </w:r>
      <w:r>
        <w:rPr>
          <w:rFonts w:hint="eastAsia"/>
          <w:color w:val="auto"/>
        </w:rPr>
        <w:t>处（勐混电站滑坡），中型</w:t>
      </w:r>
      <w:r>
        <w:rPr>
          <w:rFonts w:hint="eastAsia" w:ascii="Times New Roman" w:hAnsi="Times New Roman"/>
          <w:color w:val="auto"/>
        </w:rPr>
        <w:t>10处</w:t>
      </w:r>
      <w:r>
        <w:rPr>
          <w:rFonts w:hint="eastAsia"/>
          <w:color w:val="auto"/>
        </w:rPr>
        <w:t>，小型</w:t>
      </w:r>
      <w:r>
        <w:rPr>
          <w:rFonts w:hint="eastAsia" w:ascii="Times New Roman" w:hAnsi="Times New Roman"/>
          <w:color w:val="auto"/>
        </w:rPr>
        <w:t>33</w:t>
      </w:r>
      <w:r>
        <w:rPr>
          <w:rFonts w:hint="eastAsia"/>
          <w:color w:val="auto"/>
        </w:rPr>
        <w:t>处。现有地质灾害隐患点共涉及</w:t>
      </w:r>
      <w:r>
        <w:rPr>
          <w:rFonts w:hint="eastAsia" w:ascii="Times New Roman" w:hAnsi="Times New Roman"/>
          <w:color w:val="auto"/>
        </w:rPr>
        <w:t>11</w:t>
      </w:r>
      <w:r>
        <w:rPr>
          <w:rFonts w:hint="eastAsia"/>
          <w:color w:val="auto"/>
        </w:rPr>
        <w:t>个乡镇</w:t>
      </w:r>
      <w:r>
        <w:rPr>
          <w:rFonts w:hint="eastAsia" w:ascii="Times New Roman" w:hAnsi="Times New Roman"/>
          <w:color w:val="auto"/>
        </w:rPr>
        <w:t>1</w:t>
      </w:r>
      <w:r>
        <w:rPr>
          <w:rFonts w:hint="eastAsia"/>
          <w:color w:val="auto"/>
        </w:rPr>
        <w:t>个农场。</w:t>
      </w:r>
      <w:bookmarkStart w:id="11" w:name="_Hlk72144874"/>
      <w:r>
        <w:rPr>
          <w:rFonts w:hint="eastAsia"/>
          <w:color w:val="auto"/>
        </w:rPr>
        <w:t>共威胁</w:t>
      </w:r>
      <w:r>
        <w:rPr>
          <w:rFonts w:hint="eastAsia" w:ascii="Times New Roman" w:hAnsi="Times New Roman"/>
          <w:color w:val="auto"/>
        </w:rPr>
        <w:t>1118</w:t>
      </w:r>
      <w:r>
        <w:rPr>
          <w:rFonts w:hint="eastAsia"/>
          <w:color w:val="auto"/>
        </w:rPr>
        <w:t>户</w:t>
      </w:r>
      <w:r>
        <w:rPr>
          <w:rFonts w:hint="eastAsia" w:ascii="Times New Roman" w:hAnsi="Times New Roman"/>
          <w:color w:val="auto"/>
        </w:rPr>
        <w:t>4910</w:t>
      </w:r>
      <w:r>
        <w:rPr>
          <w:rFonts w:hint="eastAsia"/>
          <w:color w:val="auto"/>
        </w:rPr>
        <w:t>人，威胁资产近</w:t>
      </w:r>
      <w:r>
        <w:rPr>
          <w:rFonts w:hint="eastAsia" w:ascii="Times New Roman" w:hAnsi="Times New Roman"/>
          <w:color w:val="auto"/>
        </w:rPr>
        <w:t>15565万</w:t>
      </w:r>
      <w:r>
        <w:rPr>
          <w:rFonts w:hint="eastAsia"/>
          <w:color w:val="auto"/>
        </w:rPr>
        <w:t>元。</w:t>
      </w:r>
      <w:bookmarkEnd w:id="11"/>
    </w:p>
    <w:bookmarkEnd w:id="10"/>
    <w:p>
      <w:pPr>
        <w:pStyle w:val="4"/>
        <w:ind w:firstLine="640"/>
        <w:rPr>
          <w:color w:val="auto"/>
        </w:rPr>
      </w:pPr>
      <w:bookmarkStart w:id="12" w:name="_Toc17294"/>
      <w:bookmarkStart w:id="13" w:name="_Toc58933916"/>
      <w:r>
        <w:rPr>
          <w:color w:val="auto"/>
        </w:rPr>
        <w:t>（</w:t>
      </w:r>
      <w:r>
        <w:rPr>
          <w:rFonts w:hint="eastAsia"/>
          <w:color w:val="auto"/>
        </w:rPr>
        <w:t>二</w:t>
      </w:r>
      <w:r>
        <w:rPr>
          <w:color w:val="auto"/>
        </w:rPr>
        <w:t>）地质灾害发展趋势</w:t>
      </w:r>
      <w:bookmarkEnd w:id="12"/>
    </w:p>
    <w:p>
      <w:pPr>
        <w:ind w:firstLine="640"/>
        <w:rPr>
          <w:color w:val="auto"/>
        </w:rPr>
      </w:pPr>
      <w:r>
        <w:rPr>
          <w:color w:val="auto"/>
        </w:rPr>
        <w:t>进入</w:t>
      </w:r>
      <w:r>
        <w:rPr>
          <w:rFonts w:hint="eastAsia"/>
          <w:color w:val="auto"/>
        </w:rPr>
        <w:t>“十四五”时期</w:t>
      </w:r>
      <w:r>
        <w:rPr>
          <w:color w:val="auto"/>
        </w:rPr>
        <w:t>，</w:t>
      </w:r>
      <w:r>
        <w:rPr>
          <w:rFonts w:hint="eastAsia"/>
          <w:color w:val="auto"/>
        </w:rPr>
        <w:t>全县</w:t>
      </w:r>
      <w:r>
        <w:rPr>
          <w:color w:val="auto"/>
        </w:rPr>
        <w:t>社会经济依然处于中高速发展阶段，人类工程活动依然十分强烈，基础设施建设</w:t>
      </w:r>
      <w:r>
        <w:rPr>
          <w:rFonts w:hint="eastAsia"/>
          <w:color w:val="auto"/>
        </w:rPr>
        <w:t>、</w:t>
      </w:r>
      <w:r>
        <w:rPr>
          <w:color w:val="auto"/>
        </w:rPr>
        <w:t>城市扩建、乡村振兴等一系列工程活动势必造成地质环境的破坏，地质灾害防治任务依然十分严峻。在规划期内，预测</w:t>
      </w:r>
      <w:r>
        <w:rPr>
          <w:rFonts w:hint="eastAsia"/>
          <w:color w:val="auto"/>
        </w:rPr>
        <w:t>勐海县</w:t>
      </w:r>
      <w:r>
        <w:rPr>
          <w:color w:val="auto"/>
        </w:rPr>
        <w:t>地质灾害的发生频率仍保持现状或加重态势，但由于地质灾害激发因素变化的随机性，在规划期的不同时间段内，地质灾害发生频率可能会有较大波动。</w:t>
      </w:r>
    </w:p>
    <w:p>
      <w:pPr>
        <w:pStyle w:val="4"/>
        <w:ind w:firstLine="640"/>
        <w:rPr>
          <w:color w:val="auto"/>
        </w:rPr>
      </w:pPr>
      <w:bookmarkStart w:id="14" w:name="_Toc78495266"/>
      <w:bookmarkStart w:id="15" w:name="_Toc12815"/>
      <w:bookmarkStart w:id="16" w:name="_Hlk76735196"/>
      <w:r>
        <w:rPr>
          <w:rFonts w:hint="eastAsia"/>
          <w:color w:val="auto"/>
        </w:rPr>
        <w:t>（三）</w:t>
      </w:r>
      <w:r>
        <w:rPr>
          <w:color w:val="auto"/>
        </w:rPr>
        <w:t>上一轮地质灾害防治规划</w:t>
      </w:r>
      <w:bookmarkEnd w:id="14"/>
      <w:r>
        <w:rPr>
          <w:rFonts w:hint="eastAsia"/>
          <w:color w:val="auto"/>
        </w:rPr>
        <w:t>成效</w:t>
      </w:r>
      <w:bookmarkEnd w:id="15"/>
    </w:p>
    <w:bookmarkEnd w:id="16"/>
    <w:p>
      <w:pPr>
        <w:ind w:firstLine="640"/>
        <w:rPr>
          <w:color w:val="auto"/>
        </w:rPr>
      </w:pPr>
      <w:bookmarkStart w:id="17" w:name="_Hlk77257981"/>
      <w:bookmarkStart w:id="18" w:name="_Hlk73114544"/>
      <w:r>
        <w:rPr>
          <w:color w:val="auto"/>
        </w:rPr>
        <w:t>在</w:t>
      </w:r>
      <w:r>
        <w:rPr>
          <w:rFonts w:hint="eastAsia"/>
          <w:color w:val="auto"/>
        </w:rPr>
        <w:t>州委州政府、县委县</w:t>
      </w:r>
      <w:r>
        <w:rPr>
          <w:color w:val="auto"/>
        </w:rPr>
        <w:t>政府的坚强领导下，通过</w:t>
      </w:r>
      <w:r>
        <w:rPr>
          <w:rFonts w:hint="eastAsia"/>
          <w:color w:val="auto"/>
        </w:rPr>
        <w:t>“</w:t>
      </w:r>
      <w:r>
        <w:rPr>
          <w:color w:val="auto"/>
        </w:rPr>
        <w:t>十年规划</w:t>
      </w:r>
      <w:r>
        <w:rPr>
          <w:rFonts w:hint="eastAsia"/>
          <w:color w:val="auto"/>
        </w:rPr>
        <w:t>”</w:t>
      </w:r>
      <w:r>
        <w:rPr>
          <w:color w:val="auto"/>
        </w:rPr>
        <w:t>谋划布局，</w:t>
      </w:r>
      <w:r>
        <w:rPr>
          <w:rFonts w:hint="eastAsia"/>
          <w:color w:val="auto"/>
        </w:rPr>
        <w:t>“</w:t>
      </w:r>
      <w:r>
        <w:rPr>
          <w:color w:val="auto"/>
        </w:rPr>
        <w:t>八年方案</w:t>
      </w:r>
      <w:r>
        <w:rPr>
          <w:rFonts w:hint="eastAsia"/>
          <w:color w:val="auto"/>
        </w:rPr>
        <w:t>”</w:t>
      </w:r>
      <w:r>
        <w:rPr>
          <w:color w:val="auto"/>
        </w:rPr>
        <w:t>有序推进，</w:t>
      </w:r>
      <w:r>
        <w:rPr>
          <w:rFonts w:hint="eastAsia"/>
          <w:color w:val="auto"/>
        </w:rPr>
        <w:t>全县</w:t>
      </w:r>
      <w:r>
        <w:rPr>
          <w:color w:val="auto"/>
        </w:rPr>
        <w:t>承担起地质灾害的防治主体责任，各部门按职能分工，本着地质灾害防治为人民生命财产安全极端负责的原则，加强推进了地质灾害防治调查评价、监测预警、避让搬迁与治理工程、应急能力</w:t>
      </w:r>
      <w:r>
        <w:rPr>
          <w:rFonts w:hint="eastAsia"/>
          <w:color w:val="auto"/>
        </w:rPr>
        <w:t>“</w:t>
      </w:r>
      <w:r>
        <w:rPr>
          <w:color w:val="auto"/>
        </w:rPr>
        <w:t>四大工程</w:t>
      </w:r>
      <w:r>
        <w:rPr>
          <w:rFonts w:hint="eastAsia"/>
          <w:color w:val="auto"/>
        </w:rPr>
        <w:t>”</w:t>
      </w:r>
      <w:r>
        <w:rPr>
          <w:color w:val="auto"/>
        </w:rPr>
        <w:t>的体系建设。</w:t>
      </w:r>
      <w:bookmarkEnd w:id="17"/>
      <w:r>
        <w:rPr>
          <w:color w:val="auto"/>
        </w:rPr>
        <w:t>根据《地质灾害防治条例》等相关法律法规和政策，采取了一系列工作措施，并在以下</w:t>
      </w:r>
      <w:r>
        <w:rPr>
          <w:rFonts w:hint="eastAsia"/>
          <w:color w:val="auto"/>
        </w:rPr>
        <w:t>八</w:t>
      </w:r>
      <w:r>
        <w:rPr>
          <w:color w:val="auto"/>
        </w:rPr>
        <w:t>个方面取得了一定的成效：</w:t>
      </w:r>
    </w:p>
    <w:p>
      <w:pPr>
        <w:pStyle w:val="5"/>
        <w:ind w:firstLine="643"/>
        <w:rPr>
          <w:color w:val="auto"/>
        </w:rPr>
      </w:pPr>
      <w:bookmarkStart w:id="19" w:name="_Hlk76735219"/>
      <w:r>
        <w:rPr>
          <w:color w:val="auto"/>
        </w:rPr>
        <w:t>1</w:t>
      </w:r>
      <w:r>
        <w:rPr>
          <w:rFonts w:hint="eastAsia"/>
          <w:color w:val="auto"/>
        </w:rPr>
        <w:t>.</w:t>
      </w:r>
      <w:r>
        <w:rPr>
          <w:color w:val="auto"/>
        </w:rPr>
        <w:t>地质灾害宏观发育特征基本查明</w:t>
      </w:r>
    </w:p>
    <w:p>
      <w:pPr>
        <w:ind w:firstLine="640"/>
        <w:rPr>
          <w:color w:val="auto"/>
        </w:rPr>
      </w:pPr>
      <w:r>
        <w:rPr>
          <w:color w:val="auto"/>
        </w:rPr>
        <w:t>通过地质灾害调查与区划、地质灾害防治规划（</w:t>
      </w:r>
      <w:r>
        <w:rPr>
          <w:rFonts w:ascii="Times New Roman" w:hAnsi="Times New Roman"/>
          <w:color w:val="auto"/>
        </w:rPr>
        <w:t>201</w:t>
      </w:r>
      <w:r>
        <w:rPr>
          <w:rFonts w:hint="eastAsia" w:ascii="Times New Roman" w:hAnsi="Times New Roman"/>
          <w:color w:val="auto"/>
        </w:rPr>
        <w:t>1</w:t>
      </w:r>
      <w:r>
        <w:rPr>
          <w:color w:val="auto"/>
        </w:rPr>
        <w:t>-</w:t>
      </w:r>
      <w:r>
        <w:rPr>
          <w:rFonts w:ascii="Times New Roman" w:hAnsi="Times New Roman"/>
          <w:color w:val="auto"/>
        </w:rPr>
        <w:t>2020</w:t>
      </w:r>
      <w:r>
        <w:rPr>
          <w:color w:val="auto"/>
        </w:rPr>
        <w:t>）、地质灾害详细调查，以及自</w:t>
      </w:r>
      <w:r>
        <w:rPr>
          <w:rFonts w:ascii="Times New Roman" w:hAnsi="Times New Roman"/>
          <w:color w:val="auto"/>
        </w:rPr>
        <w:t>2016</w:t>
      </w:r>
      <w:r>
        <w:rPr>
          <w:color w:val="auto"/>
        </w:rPr>
        <w:t>年</w:t>
      </w:r>
      <w:r>
        <w:rPr>
          <w:rFonts w:hint="eastAsia"/>
          <w:color w:val="auto"/>
        </w:rPr>
        <w:t>以</w:t>
      </w:r>
      <w:r>
        <w:rPr>
          <w:color w:val="auto"/>
        </w:rPr>
        <w:t>来的隐患排查、巡查、核查等前期工作，全</w:t>
      </w:r>
      <w:r>
        <w:rPr>
          <w:rFonts w:hint="eastAsia"/>
          <w:color w:val="auto"/>
        </w:rPr>
        <w:t>县</w:t>
      </w:r>
      <w:r>
        <w:rPr>
          <w:color w:val="auto"/>
        </w:rPr>
        <w:t>地质灾害主要类型、形成环境、分布规律及已造成损失和潜在危害等基本特征基本查明。</w:t>
      </w:r>
    </w:p>
    <w:p>
      <w:pPr>
        <w:pStyle w:val="5"/>
        <w:ind w:firstLine="643"/>
        <w:rPr>
          <w:color w:val="auto"/>
        </w:rPr>
      </w:pPr>
      <w:r>
        <w:rPr>
          <w:color w:val="auto"/>
        </w:rPr>
        <w:t>2</w:t>
      </w:r>
      <w:r>
        <w:rPr>
          <w:rFonts w:hint="eastAsia"/>
          <w:color w:val="auto"/>
        </w:rPr>
        <w:t>.</w:t>
      </w:r>
      <w:r>
        <w:rPr>
          <w:color w:val="auto"/>
        </w:rPr>
        <w:t>地质灾害防治管理工作明显加强</w:t>
      </w:r>
    </w:p>
    <w:p>
      <w:pPr>
        <w:ind w:firstLine="640"/>
        <w:rPr>
          <w:color w:val="auto"/>
        </w:rPr>
      </w:pPr>
      <w:r>
        <w:rPr>
          <w:bCs/>
          <w:color w:val="auto"/>
        </w:rPr>
        <w:t>一是</w:t>
      </w:r>
      <w:r>
        <w:rPr>
          <w:color w:val="auto"/>
        </w:rPr>
        <w:t>建立了地质灾害应急指挥体系，制定了地质灾害应急预案，明确了各部门、各行业及相关救援力量的职责，形成了责任明确、响应联动、运行顺畅的应急指挥和预案体系</w:t>
      </w:r>
      <w:r>
        <w:rPr>
          <w:rFonts w:hint="eastAsia"/>
          <w:color w:val="auto"/>
        </w:rPr>
        <w:t>；</w:t>
      </w:r>
      <w:r>
        <w:rPr>
          <w:color w:val="auto"/>
        </w:rPr>
        <w:t>二是全覆盖制定地质灾害隐患点的单点应急处置预案，对每个隐患点明确预警信号、撤离路线、应急避灾场所等；</w:t>
      </w:r>
      <w:r>
        <w:rPr>
          <w:rFonts w:hint="eastAsia"/>
          <w:color w:val="auto"/>
        </w:rPr>
        <w:t>三是</w:t>
      </w:r>
      <w:r>
        <w:rPr>
          <w:color w:val="auto"/>
        </w:rPr>
        <w:t>加强应急演练，提升临灾避险组织能力和应急处置能力</w:t>
      </w:r>
      <w:r>
        <w:rPr>
          <w:rFonts w:hint="eastAsia"/>
          <w:color w:val="auto"/>
        </w:rPr>
        <w:t>；四</w:t>
      </w:r>
      <w:r>
        <w:rPr>
          <w:color w:val="auto"/>
        </w:rPr>
        <w:t>是建立地灾应急专家组，及时研判对汛期地灾隐患点灾体变化情况</w:t>
      </w:r>
      <w:r>
        <w:rPr>
          <w:rFonts w:hint="eastAsia"/>
          <w:color w:val="auto"/>
        </w:rPr>
        <w:t>，</w:t>
      </w:r>
      <w:r>
        <w:rPr>
          <w:color w:val="auto"/>
        </w:rPr>
        <w:t>加强识灾防灾指导</w:t>
      </w:r>
      <w:r>
        <w:rPr>
          <w:rFonts w:hint="eastAsia"/>
          <w:color w:val="auto"/>
        </w:rPr>
        <w:t>；五</w:t>
      </w:r>
      <w:r>
        <w:rPr>
          <w:bCs/>
          <w:color w:val="auto"/>
        </w:rPr>
        <w:t>是形</w:t>
      </w:r>
      <w:r>
        <w:rPr>
          <w:color w:val="auto"/>
        </w:rPr>
        <w:t>成了严格的汛期</w:t>
      </w:r>
      <w:r>
        <w:rPr>
          <w:rFonts w:ascii="Times New Roman" w:hAnsi="Times New Roman"/>
          <w:color w:val="auto"/>
        </w:rPr>
        <w:t>24</w:t>
      </w:r>
      <w:r>
        <w:rPr>
          <w:color w:val="auto"/>
        </w:rPr>
        <w:t>小时值班值守制度和灾情速报制度。通过地质灾害应急体系建设，明显提升了</w:t>
      </w:r>
      <w:r>
        <w:rPr>
          <w:rFonts w:hint="eastAsia"/>
          <w:color w:val="auto"/>
        </w:rPr>
        <w:t>全县</w:t>
      </w:r>
      <w:r>
        <w:rPr>
          <w:color w:val="auto"/>
        </w:rPr>
        <w:t>地质灾害应急处置能力和水平。</w:t>
      </w:r>
    </w:p>
    <w:p>
      <w:pPr>
        <w:pStyle w:val="5"/>
        <w:ind w:firstLine="643"/>
        <w:rPr>
          <w:color w:val="auto"/>
        </w:rPr>
      </w:pPr>
      <w:r>
        <w:rPr>
          <w:color w:val="auto"/>
        </w:rPr>
        <w:t>3</w:t>
      </w:r>
      <w:r>
        <w:rPr>
          <w:rFonts w:hint="eastAsia"/>
          <w:color w:val="auto"/>
        </w:rPr>
        <w:t>.</w:t>
      </w:r>
      <w:r>
        <w:rPr>
          <w:color w:val="auto"/>
        </w:rPr>
        <w:t>制度建设日趋完善</w:t>
      </w:r>
    </w:p>
    <w:p>
      <w:pPr>
        <w:ind w:firstLine="640"/>
        <w:rPr>
          <w:color w:val="auto"/>
        </w:rPr>
      </w:pPr>
      <w:r>
        <w:rPr>
          <w:color w:val="auto"/>
        </w:rPr>
        <w:t>严格遵守上级部门、政府出台的相关地质灾害防治法规，</w:t>
      </w:r>
      <w:r>
        <w:rPr>
          <w:rFonts w:hint="eastAsia"/>
          <w:color w:val="auto"/>
        </w:rPr>
        <w:t>县</w:t>
      </w:r>
      <w:r>
        <w:rPr>
          <w:color w:val="auto"/>
        </w:rPr>
        <w:t>级政府按年度印发实施了防治方案、及时修订完善了地质灾害防治的应急预案。</w:t>
      </w:r>
    </w:p>
    <w:p>
      <w:pPr>
        <w:pStyle w:val="5"/>
        <w:ind w:firstLine="643"/>
        <w:rPr>
          <w:color w:val="auto"/>
        </w:rPr>
      </w:pPr>
      <w:r>
        <w:rPr>
          <w:color w:val="auto"/>
        </w:rPr>
        <w:t>4</w:t>
      </w:r>
      <w:r>
        <w:rPr>
          <w:rFonts w:hint="eastAsia"/>
          <w:color w:val="auto"/>
        </w:rPr>
        <w:t>.</w:t>
      </w:r>
      <w:r>
        <w:rPr>
          <w:color w:val="auto"/>
        </w:rPr>
        <w:t>群专结合+气象的监测预警体系逐步形成</w:t>
      </w:r>
    </w:p>
    <w:p>
      <w:pPr>
        <w:ind w:firstLine="640"/>
        <w:rPr>
          <w:color w:val="auto"/>
        </w:rPr>
      </w:pPr>
      <w:r>
        <w:rPr>
          <w:color w:val="auto"/>
        </w:rPr>
        <w:t>一是对所有排查出的地质灾害隐患点均明确防灾责任单位、责任人和监测员，形成了严密的防治责任体系。二是对隐患点全覆盖选定监测员并造册登记备案，及时预警，及时处置。三是与气象部门共同建立了地质灾害气象风险会商研判机制和信息共享联动机制，通过多途径多方式及时发布地质灾害气象风险预报预警</w:t>
      </w:r>
      <w:r>
        <w:rPr>
          <w:rFonts w:hint="eastAsia"/>
          <w:color w:val="auto"/>
        </w:rPr>
        <w:t>。</w:t>
      </w:r>
      <w:r>
        <w:rPr>
          <w:color w:val="auto"/>
        </w:rPr>
        <w:t>四是对隐患点威胁群众全覆盖发放地灾防治明白卡、避险明白卡</w:t>
      </w:r>
      <w:r>
        <w:rPr>
          <w:rFonts w:hint="eastAsia"/>
          <w:color w:val="auto"/>
        </w:rPr>
        <w:t>。</w:t>
      </w:r>
      <w:r>
        <w:rPr>
          <w:color w:val="auto"/>
        </w:rPr>
        <w:t>五是</w:t>
      </w:r>
      <w:r>
        <w:rPr>
          <w:rFonts w:hint="eastAsia"/>
          <w:color w:val="auto"/>
        </w:rPr>
        <w:t>自</w:t>
      </w:r>
      <w:r>
        <w:rPr>
          <w:rFonts w:ascii="Times New Roman" w:hAnsi="Times New Roman"/>
          <w:color w:val="auto"/>
        </w:rPr>
        <w:t>2020</w:t>
      </w:r>
      <w:r>
        <w:rPr>
          <w:color w:val="auto"/>
        </w:rPr>
        <w:t>年</w:t>
      </w:r>
      <w:r>
        <w:rPr>
          <w:rFonts w:hint="eastAsia"/>
          <w:color w:val="auto"/>
        </w:rPr>
        <w:t>来</w:t>
      </w:r>
      <w:r>
        <w:rPr>
          <w:color w:val="auto"/>
        </w:rPr>
        <w:t>，争取实施地质灾害监测预警点为全</w:t>
      </w:r>
      <w:r>
        <w:rPr>
          <w:rFonts w:hint="eastAsia"/>
          <w:color w:val="auto"/>
        </w:rPr>
        <w:t>县</w:t>
      </w:r>
      <w:r>
        <w:rPr>
          <w:color w:val="auto"/>
        </w:rPr>
        <w:t>临灾避灾以及应急处置提供了更有利的数据支撑。</w:t>
      </w:r>
    </w:p>
    <w:p>
      <w:pPr>
        <w:pStyle w:val="5"/>
        <w:ind w:firstLine="643"/>
        <w:rPr>
          <w:color w:val="auto"/>
        </w:rPr>
      </w:pPr>
      <w:r>
        <w:rPr>
          <w:color w:val="auto"/>
        </w:rPr>
        <w:t>5</w:t>
      </w:r>
      <w:r>
        <w:rPr>
          <w:rFonts w:hint="eastAsia"/>
          <w:color w:val="auto"/>
        </w:rPr>
        <w:t>.</w:t>
      </w:r>
      <w:r>
        <w:rPr>
          <w:color w:val="auto"/>
        </w:rPr>
        <w:t>实现省、州、县地质灾害信息互联互通</w:t>
      </w:r>
    </w:p>
    <w:p>
      <w:pPr>
        <w:ind w:firstLine="640"/>
        <w:rPr>
          <w:color w:val="auto"/>
        </w:rPr>
      </w:pPr>
      <w:r>
        <w:rPr>
          <w:color w:val="auto"/>
        </w:rPr>
        <w:t>配合云南省地然资源厅建成了地质灾害信息管理系统，按照省级部署和要求抓紧开展信息录入，实现省、州、县地质灾害信息的互联互通以及地质灾害动态管理。</w:t>
      </w:r>
    </w:p>
    <w:bookmarkEnd w:id="19"/>
    <w:p>
      <w:pPr>
        <w:pStyle w:val="5"/>
        <w:ind w:firstLine="643"/>
        <w:rPr>
          <w:color w:val="auto"/>
        </w:rPr>
      </w:pPr>
      <w:bookmarkStart w:id="20" w:name="_Hlk76735430"/>
      <w:r>
        <w:rPr>
          <w:color w:val="auto"/>
        </w:rPr>
        <w:t>6</w:t>
      </w:r>
      <w:r>
        <w:rPr>
          <w:rFonts w:hint="eastAsia"/>
          <w:color w:val="auto"/>
        </w:rPr>
        <w:t>.</w:t>
      </w:r>
      <w:r>
        <w:rPr>
          <w:color w:val="auto"/>
        </w:rPr>
        <w:t>宣传培训方式多样，防灾意识提高</w:t>
      </w:r>
    </w:p>
    <w:p>
      <w:pPr>
        <w:ind w:firstLine="640"/>
        <w:rPr>
          <w:color w:val="auto"/>
        </w:rPr>
      </w:pPr>
      <w:r>
        <w:rPr>
          <w:color w:val="auto"/>
        </w:rPr>
        <w:t>按照地质灾害防灾减灾</w:t>
      </w:r>
      <w:r>
        <w:rPr>
          <w:rFonts w:hint="eastAsia"/>
          <w:color w:val="auto"/>
        </w:rPr>
        <w:t>“</w:t>
      </w:r>
      <w:r>
        <w:rPr>
          <w:color w:val="auto"/>
        </w:rPr>
        <w:t>意识进一步提高，知识进一步增长，能力进一步增加，体系进一步完善</w:t>
      </w:r>
      <w:r>
        <w:rPr>
          <w:rFonts w:hint="eastAsia"/>
          <w:color w:val="auto"/>
        </w:rPr>
        <w:t>”</w:t>
      </w:r>
      <w:r>
        <w:rPr>
          <w:color w:val="auto"/>
        </w:rPr>
        <w:t>的要求</w:t>
      </w:r>
      <w:r>
        <w:rPr>
          <w:rFonts w:hint="eastAsia"/>
          <w:color w:val="auto"/>
        </w:rPr>
        <w:t>，</w:t>
      </w:r>
      <w:r>
        <w:rPr>
          <w:color w:val="auto"/>
        </w:rPr>
        <w:t>对存在地质灾害隐患的乡（镇）</w:t>
      </w:r>
      <w:r>
        <w:rPr>
          <w:rFonts w:hint="eastAsia"/>
          <w:color w:val="auto"/>
        </w:rPr>
        <w:t>进行</w:t>
      </w:r>
      <w:r>
        <w:rPr>
          <w:color w:val="auto"/>
        </w:rPr>
        <w:t>宣传培训</w:t>
      </w:r>
      <w:r>
        <w:rPr>
          <w:rFonts w:hint="eastAsia"/>
          <w:color w:val="auto"/>
        </w:rPr>
        <w:t>，发放宣传画册，</w:t>
      </w:r>
      <w:r>
        <w:rPr>
          <w:color w:val="auto"/>
        </w:rPr>
        <w:t>使受地质灾害威胁的群众明白防灾方法、临灾时撤离疏散的路线、避灾安置地点等注意事项，提高了广大干部群众的防灾减灾意识。</w:t>
      </w:r>
    </w:p>
    <w:bookmarkEnd w:id="20"/>
    <w:p>
      <w:pPr>
        <w:pStyle w:val="5"/>
        <w:ind w:firstLine="643"/>
        <w:rPr>
          <w:color w:val="auto"/>
        </w:rPr>
      </w:pPr>
      <w:bookmarkStart w:id="21" w:name="_Hlk76735462"/>
      <w:r>
        <w:rPr>
          <w:color w:val="auto"/>
        </w:rPr>
        <w:t>7</w:t>
      </w:r>
      <w:r>
        <w:rPr>
          <w:rFonts w:hint="eastAsia"/>
          <w:color w:val="auto"/>
        </w:rPr>
        <w:t>.地质灾害避险移民搬迁和工程治理</w:t>
      </w:r>
      <w:r>
        <w:rPr>
          <w:color w:val="auto"/>
        </w:rPr>
        <w:t>取得一定成效</w:t>
      </w:r>
    </w:p>
    <w:bookmarkEnd w:id="21"/>
    <w:p>
      <w:pPr>
        <w:ind w:firstLine="640"/>
        <w:rPr>
          <w:color w:val="auto"/>
          <w:szCs w:val="28"/>
        </w:rPr>
      </w:pPr>
      <w:bookmarkStart w:id="22" w:name="_Hlk76735557"/>
      <w:r>
        <w:rPr>
          <w:rFonts w:hint="eastAsia"/>
          <w:color w:val="auto"/>
        </w:rPr>
        <w:t>截至</w:t>
      </w:r>
      <w:r>
        <w:rPr>
          <w:rFonts w:ascii="Times New Roman" w:hAnsi="Times New Roman"/>
          <w:color w:val="auto"/>
        </w:rPr>
        <w:t>2020</w:t>
      </w:r>
      <w:r>
        <w:rPr>
          <w:color w:val="auto"/>
        </w:rPr>
        <w:t>年底，</w:t>
      </w:r>
      <w:r>
        <w:rPr>
          <w:rFonts w:hint="eastAsia"/>
          <w:color w:val="auto"/>
        </w:rPr>
        <w:t>勐海县</w:t>
      </w:r>
      <w:r>
        <w:rPr>
          <w:color w:val="auto"/>
        </w:rPr>
        <w:t>实施了</w:t>
      </w:r>
      <w:r>
        <w:rPr>
          <w:rFonts w:hint="eastAsia" w:ascii="Times New Roman" w:hAnsi="Times New Roman"/>
          <w:color w:val="auto"/>
        </w:rPr>
        <w:t>36</w:t>
      </w:r>
      <w:r>
        <w:rPr>
          <w:color w:val="auto"/>
        </w:rPr>
        <w:t>个地质灾害治理工程项目，</w:t>
      </w:r>
      <w:r>
        <w:rPr>
          <w:color w:val="auto"/>
          <w:szCs w:val="28"/>
        </w:rPr>
        <w:t>共涉及</w:t>
      </w:r>
      <w:r>
        <w:rPr>
          <w:rFonts w:hint="eastAsia" w:ascii="Times New Roman" w:hAnsi="Times New Roman"/>
          <w:color w:val="auto"/>
          <w:szCs w:val="28"/>
        </w:rPr>
        <w:t>768</w:t>
      </w:r>
      <w:r>
        <w:rPr>
          <w:rFonts w:hint="eastAsia"/>
          <w:color w:val="auto"/>
          <w:szCs w:val="28"/>
        </w:rPr>
        <w:tab/>
      </w:r>
      <w:r>
        <w:rPr>
          <w:rFonts w:hint="eastAsia"/>
          <w:color w:val="auto"/>
          <w:szCs w:val="28"/>
        </w:rPr>
        <w:t>户</w:t>
      </w:r>
      <w:r>
        <w:rPr>
          <w:rFonts w:hint="eastAsia" w:ascii="Times New Roman" w:hAnsi="Times New Roman"/>
          <w:color w:val="auto"/>
          <w:szCs w:val="28"/>
        </w:rPr>
        <w:t>6633</w:t>
      </w:r>
      <w:r>
        <w:rPr>
          <w:rFonts w:hint="eastAsia"/>
          <w:color w:val="auto"/>
          <w:szCs w:val="28"/>
        </w:rPr>
        <w:t>人</w:t>
      </w:r>
      <w:r>
        <w:rPr>
          <w:color w:val="auto"/>
          <w:szCs w:val="28"/>
        </w:rPr>
        <w:t>，投入地质灾害治理经费</w:t>
      </w:r>
      <w:r>
        <w:rPr>
          <w:rFonts w:hint="eastAsia" w:ascii="Times New Roman" w:hAnsi="Times New Roman"/>
          <w:color w:val="auto"/>
          <w:szCs w:val="28"/>
        </w:rPr>
        <w:t>5629</w:t>
      </w:r>
      <w:r>
        <w:rPr>
          <w:rFonts w:hint="eastAsia"/>
          <w:color w:val="auto"/>
          <w:szCs w:val="28"/>
        </w:rPr>
        <w:t>.</w:t>
      </w:r>
      <w:r>
        <w:rPr>
          <w:rFonts w:hint="eastAsia" w:ascii="Times New Roman" w:hAnsi="Times New Roman"/>
          <w:color w:val="auto"/>
          <w:szCs w:val="28"/>
        </w:rPr>
        <w:t>05</w:t>
      </w:r>
      <w:r>
        <w:rPr>
          <w:color w:val="auto"/>
          <w:szCs w:val="28"/>
        </w:rPr>
        <w:t>万元。完成了</w:t>
      </w:r>
      <w:r>
        <w:rPr>
          <w:rFonts w:hint="eastAsia" w:ascii="Times New Roman" w:hAnsi="Times New Roman"/>
          <w:color w:val="auto"/>
          <w:szCs w:val="28"/>
        </w:rPr>
        <w:t>1</w:t>
      </w:r>
      <w:r>
        <w:rPr>
          <w:color w:val="auto"/>
          <w:szCs w:val="28"/>
        </w:rPr>
        <w:t>个避灾搬迁项目，共涉及</w:t>
      </w:r>
      <w:r>
        <w:rPr>
          <w:rFonts w:hint="eastAsia" w:ascii="Times New Roman" w:hAnsi="Times New Roman"/>
          <w:color w:val="auto"/>
          <w:szCs w:val="28"/>
        </w:rPr>
        <w:t>36</w:t>
      </w:r>
      <w:r>
        <w:rPr>
          <w:rFonts w:hint="eastAsia"/>
          <w:color w:val="auto"/>
          <w:szCs w:val="28"/>
        </w:rPr>
        <w:t>户</w:t>
      </w:r>
      <w:r>
        <w:rPr>
          <w:rFonts w:hint="eastAsia" w:ascii="Times New Roman" w:hAnsi="Times New Roman"/>
          <w:color w:val="auto"/>
          <w:szCs w:val="28"/>
        </w:rPr>
        <w:t>102</w:t>
      </w:r>
      <w:r>
        <w:rPr>
          <w:color w:val="auto"/>
          <w:szCs w:val="28"/>
        </w:rPr>
        <w:t>人，投入地质灾害搬迁经费</w:t>
      </w:r>
      <w:r>
        <w:rPr>
          <w:rFonts w:hint="eastAsia" w:ascii="Times New Roman" w:hAnsi="Times New Roman"/>
          <w:color w:val="auto"/>
          <w:szCs w:val="28"/>
        </w:rPr>
        <w:t>72</w:t>
      </w:r>
      <w:r>
        <w:rPr>
          <w:color w:val="auto"/>
          <w:szCs w:val="28"/>
        </w:rPr>
        <w:t>万元</w:t>
      </w:r>
      <w:r>
        <w:rPr>
          <w:rFonts w:hint="eastAsia"/>
          <w:color w:val="auto"/>
          <w:szCs w:val="28"/>
        </w:rPr>
        <w:t>。同时，勐海县还依托群测群防、专家队伍等多种手段判别灾害发展情况，解除逐渐趋稳的灾害点隐患，至</w:t>
      </w:r>
      <w:r>
        <w:rPr>
          <w:rFonts w:hint="eastAsia" w:ascii="Times New Roman" w:hAnsi="Times New Roman"/>
          <w:color w:val="auto"/>
          <w:szCs w:val="28"/>
        </w:rPr>
        <w:t>2</w:t>
      </w:r>
      <w:r>
        <w:rPr>
          <w:rFonts w:ascii="Times New Roman" w:hAnsi="Times New Roman"/>
          <w:color w:val="auto"/>
          <w:szCs w:val="28"/>
        </w:rPr>
        <w:t>020</w:t>
      </w:r>
      <w:r>
        <w:rPr>
          <w:rFonts w:hint="eastAsia"/>
          <w:color w:val="auto"/>
          <w:szCs w:val="28"/>
        </w:rPr>
        <w:t>年底，全县地质灾害隐患点已从</w:t>
      </w:r>
      <w:r>
        <w:rPr>
          <w:rFonts w:hint="eastAsia" w:ascii="Times New Roman" w:hAnsi="Times New Roman"/>
          <w:color w:val="auto"/>
          <w:szCs w:val="28"/>
        </w:rPr>
        <w:t>164</w:t>
      </w:r>
      <w:r>
        <w:rPr>
          <w:rFonts w:hint="eastAsia"/>
          <w:color w:val="auto"/>
          <w:szCs w:val="28"/>
        </w:rPr>
        <w:t>处减少至</w:t>
      </w:r>
      <w:r>
        <w:rPr>
          <w:rFonts w:hint="eastAsia" w:ascii="Times New Roman" w:hAnsi="Times New Roman"/>
          <w:color w:val="auto"/>
          <w:szCs w:val="28"/>
        </w:rPr>
        <w:t>44</w:t>
      </w:r>
      <w:r>
        <w:rPr>
          <w:rFonts w:hint="eastAsia"/>
          <w:color w:val="auto"/>
          <w:szCs w:val="28"/>
        </w:rPr>
        <w:t>处，减少灾害点数量</w:t>
      </w:r>
      <w:r>
        <w:rPr>
          <w:rFonts w:hint="eastAsia" w:ascii="Times New Roman" w:hAnsi="Times New Roman"/>
          <w:color w:val="auto"/>
          <w:szCs w:val="28"/>
        </w:rPr>
        <w:t>120</w:t>
      </w:r>
      <w:r>
        <w:rPr>
          <w:rFonts w:hint="eastAsia"/>
          <w:color w:val="auto"/>
          <w:szCs w:val="28"/>
        </w:rPr>
        <w:t>处。</w:t>
      </w:r>
    </w:p>
    <w:p>
      <w:pPr>
        <w:pStyle w:val="5"/>
        <w:ind w:firstLine="643"/>
        <w:rPr>
          <w:color w:val="auto"/>
        </w:rPr>
      </w:pPr>
      <w:r>
        <w:rPr>
          <w:rFonts w:hint="eastAsia"/>
          <w:color w:val="auto"/>
        </w:rPr>
        <w:t>8.县地质灾</w:t>
      </w:r>
      <w:r>
        <w:rPr>
          <w:color w:val="auto"/>
        </w:rPr>
        <w:t>害防治技术指导站成立</w:t>
      </w:r>
    </w:p>
    <w:bookmarkEnd w:id="22"/>
    <w:p>
      <w:pPr>
        <w:ind w:firstLine="640"/>
        <w:rPr>
          <w:color w:val="auto"/>
          <w:szCs w:val="28"/>
        </w:rPr>
      </w:pPr>
      <w:r>
        <w:rPr>
          <w:rFonts w:ascii="Times New Roman" w:hAnsi="Times New Roman"/>
          <w:color w:val="auto"/>
          <w:szCs w:val="28"/>
        </w:rPr>
        <w:t>2020</w:t>
      </w:r>
      <w:r>
        <w:rPr>
          <w:color w:val="auto"/>
          <w:szCs w:val="28"/>
        </w:rPr>
        <w:t>年</w:t>
      </w:r>
      <w:r>
        <w:rPr>
          <w:rFonts w:ascii="Times New Roman" w:hAnsi="Times New Roman"/>
          <w:color w:val="auto"/>
          <w:szCs w:val="28"/>
        </w:rPr>
        <w:t>9</w:t>
      </w:r>
      <w:r>
        <w:rPr>
          <w:color w:val="auto"/>
          <w:szCs w:val="28"/>
        </w:rPr>
        <w:t>月开始，</w:t>
      </w:r>
      <w:r>
        <w:rPr>
          <w:rFonts w:hint="eastAsia"/>
          <w:color w:val="auto"/>
          <w:szCs w:val="28"/>
        </w:rPr>
        <w:t>勐海县</w:t>
      </w:r>
      <w:r>
        <w:rPr>
          <w:color w:val="auto"/>
          <w:szCs w:val="28"/>
        </w:rPr>
        <w:t>成立云南省自然资源厅驻</w:t>
      </w:r>
      <w:r>
        <w:rPr>
          <w:rFonts w:hint="eastAsia"/>
          <w:color w:val="auto"/>
          <w:szCs w:val="28"/>
        </w:rPr>
        <w:t>勐海县</w:t>
      </w:r>
      <w:r>
        <w:rPr>
          <w:color w:val="auto"/>
          <w:szCs w:val="28"/>
        </w:rPr>
        <w:t>地质灾害防治技术指导</w:t>
      </w:r>
      <w:r>
        <w:rPr>
          <w:rFonts w:hint="eastAsia"/>
          <w:color w:val="auto"/>
          <w:szCs w:val="28"/>
        </w:rPr>
        <w:t>站</w:t>
      </w:r>
      <w:r>
        <w:rPr>
          <w:color w:val="auto"/>
          <w:szCs w:val="28"/>
        </w:rPr>
        <w:t>，由省厅指定的技术支撑单位入驻，通过指导站的成立，为解决全</w:t>
      </w:r>
      <w:r>
        <w:rPr>
          <w:rFonts w:hint="eastAsia"/>
          <w:color w:val="auto"/>
          <w:szCs w:val="28"/>
        </w:rPr>
        <w:t>县</w:t>
      </w:r>
      <w:r>
        <w:rPr>
          <w:color w:val="auto"/>
          <w:szCs w:val="28"/>
        </w:rPr>
        <w:t>地质灾害巡查排查核查、气象风险预警预报、群测群防、普适型监测、专业型监测、综合防治、应急救援、宣传培训、信息汇总、数据管理交换应用等技术短板提供强有力的技术支撑，全</w:t>
      </w:r>
      <w:r>
        <w:rPr>
          <w:rFonts w:hint="eastAsia"/>
          <w:color w:val="auto"/>
          <w:szCs w:val="28"/>
        </w:rPr>
        <w:t>县</w:t>
      </w:r>
      <w:r>
        <w:rPr>
          <w:color w:val="auto"/>
          <w:szCs w:val="28"/>
        </w:rPr>
        <w:t>地质灾害综合防治能力得到进一步提升。</w:t>
      </w:r>
    </w:p>
    <w:p>
      <w:pPr>
        <w:ind w:firstLine="640"/>
        <w:rPr>
          <w:color w:val="auto"/>
          <w:szCs w:val="28"/>
        </w:rPr>
      </w:pPr>
      <w:bookmarkStart w:id="23" w:name="_Hlk76735576"/>
      <w:r>
        <w:rPr>
          <w:color w:val="auto"/>
          <w:szCs w:val="28"/>
        </w:rPr>
        <w:t xml:space="preserve"> </w:t>
      </w:r>
      <w:r>
        <w:rPr>
          <w:rFonts w:hint="eastAsia"/>
          <w:color w:val="auto"/>
          <w:szCs w:val="28"/>
        </w:rPr>
        <w:t>“</w:t>
      </w:r>
      <w:r>
        <w:rPr>
          <w:color w:val="auto"/>
          <w:szCs w:val="28"/>
        </w:rPr>
        <w:t>十年规划</w:t>
      </w:r>
      <w:r>
        <w:rPr>
          <w:rFonts w:hint="eastAsia"/>
          <w:color w:val="auto"/>
          <w:szCs w:val="28"/>
        </w:rPr>
        <w:t>”</w:t>
      </w:r>
      <w:r>
        <w:rPr>
          <w:color w:val="auto"/>
          <w:szCs w:val="28"/>
        </w:rPr>
        <w:t>、以及</w:t>
      </w:r>
      <w:r>
        <w:rPr>
          <w:rFonts w:hint="eastAsia"/>
          <w:color w:val="auto"/>
          <w:szCs w:val="28"/>
        </w:rPr>
        <w:t>“</w:t>
      </w:r>
      <w:r>
        <w:rPr>
          <w:color w:val="auto"/>
          <w:szCs w:val="28"/>
        </w:rPr>
        <w:t>八年方案</w:t>
      </w:r>
      <w:r>
        <w:rPr>
          <w:rFonts w:hint="eastAsia"/>
          <w:color w:val="auto"/>
          <w:szCs w:val="28"/>
        </w:rPr>
        <w:t>”</w:t>
      </w:r>
      <w:r>
        <w:rPr>
          <w:color w:val="auto"/>
          <w:szCs w:val="28"/>
        </w:rPr>
        <w:t>实施以来，通过地质灾害防治工作的展开，</w:t>
      </w:r>
      <w:r>
        <w:rPr>
          <w:rFonts w:hint="eastAsia"/>
          <w:color w:val="auto"/>
          <w:szCs w:val="28"/>
        </w:rPr>
        <w:t>勐海县</w:t>
      </w:r>
      <w:r>
        <w:rPr>
          <w:color w:val="auto"/>
          <w:szCs w:val="28"/>
        </w:rPr>
        <w:t>地质灾害造成的损失有逐渐减少的趋势，经过全</w:t>
      </w:r>
      <w:r>
        <w:rPr>
          <w:rFonts w:hint="eastAsia"/>
          <w:color w:val="auto"/>
          <w:szCs w:val="28"/>
        </w:rPr>
        <w:t>县</w:t>
      </w:r>
      <w:r>
        <w:rPr>
          <w:color w:val="auto"/>
          <w:szCs w:val="28"/>
        </w:rPr>
        <w:t>各级各部门的不懈努力，</w:t>
      </w:r>
      <w:r>
        <w:rPr>
          <w:rFonts w:hint="eastAsia"/>
          <w:color w:val="auto"/>
          <w:szCs w:val="28"/>
        </w:rPr>
        <w:t>勐海县</w:t>
      </w:r>
      <w:r>
        <w:rPr>
          <w:color w:val="auto"/>
          <w:szCs w:val="28"/>
        </w:rPr>
        <w:t>地质灾害防治工作取得了一定的成绩。</w:t>
      </w:r>
    </w:p>
    <w:bookmarkEnd w:id="18"/>
    <w:bookmarkEnd w:id="23"/>
    <w:p>
      <w:pPr>
        <w:pStyle w:val="4"/>
        <w:ind w:firstLine="640"/>
        <w:rPr>
          <w:color w:val="auto"/>
        </w:rPr>
      </w:pPr>
      <w:bookmarkStart w:id="24" w:name="_Toc2515"/>
      <w:r>
        <w:rPr>
          <w:color w:val="auto"/>
        </w:rPr>
        <w:t>（</w:t>
      </w:r>
      <w:r>
        <w:rPr>
          <w:rFonts w:hint="eastAsia"/>
          <w:color w:val="auto"/>
        </w:rPr>
        <w:t>四</w:t>
      </w:r>
      <w:r>
        <w:rPr>
          <w:color w:val="auto"/>
        </w:rPr>
        <w:t>）</w:t>
      </w:r>
      <w:r>
        <w:rPr>
          <w:rFonts w:hint="eastAsia"/>
          <w:color w:val="auto"/>
        </w:rPr>
        <w:t>地质灾害防治</w:t>
      </w:r>
      <w:r>
        <w:rPr>
          <w:color w:val="auto"/>
        </w:rPr>
        <w:t>存在的问题</w:t>
      </w:r>
      <w:bookmarkEnd w:id="24"/>
    </w:p>
    <w:p>
      <w:pPr>
        <w:ind w:firstLine="640"/>
        <w:rPr>
          <w:color w:val="auto"/>
          <w:szCs w:val="28"/>
        </w:rPr>
      </w:pPr>
      <w:bookmarkStart w:id="25" w:name="_Hlk76045150"/>
      <w:bookmarkStart w:id="26" w:name="_Hlk73625141"/>
      <w:bookmarkStart w:id="27" w:name="_Hlk76735792"/>
      <w:r>
        <w:rPr>
          <w:rFonts w:hint="eastAsia"/>
          <w:color w:val="auto"/>
          <w:szCs w:val="28"/>
        </w:rPr>
        <w:t>勐海县</w:t>
      </w:r>
      <w:r>
        <w:rPr>
          <w:color w:val="auto"/>
          <w:szCs w:val="28"/>
        </w:rPr>
        <w:t>地质环境十分脆弱，通过</w:t>
      </w:r>
      <w:r>
        <w:rPr>
          <w:rFonts w:hint="eastAsia"/>
          <w:color w:val="auto"/>
          <w:szCs w:val="28"/>
        </w:rPr>
        <w:t>“</w:t>
      </w:r>
      <w:r>
        <w:rPr>
          <w:color w:val="auto"/>
          <w:szCs w:val="28"/>
        </w:rPr>
        <w:t>十二五、十三五</w:t>
      </w:r>
      <w:r>
        <w:rPr>
          <w:rFonts w:hint="eastAsia"/>
          <w:color w:val="auto"/>
          <w:szCs w:val="28"/>
        </w:rPr>
        <w:t>”</w:t>
      </w:r>
      <w:r>
        <w:rPr>
          <w:color w:val="auto"/>
          <w:szCs w:val="28"/>
        </w:rPr>
        <w:t>的防治，全</w:t>
      </w:r>
      <w:r>
        <w:rPr>
          <w:rFonts w:hint="eastAsia"/>
          <w:color w:val="auto"/>
          <w:szCs w:val="28"/>
        </w:rPr>
        <w:t>县</w:t>
      </w:r>
      <w:r>
        <w:rPr>
          <w:color w:val="auto"/>
          <w:szCs w:val="28"/>
        </w:rPr>
        <w:t>地质灾害防治成效显著，仍存在一些亟待解决的困难问题，主要表现在：</w:t>
      </w:r>
    </w:p>
    <w:p>
      <w:pPr>
        <w:pStyle w:val="5"/>
        <w:ind w:firstLine="643"/>
        <w:rPr>
          <w:color w:val="auto"/>
        </w:rPr>
      </w:pPr>
      <w:r>
        <w:rPr>
          <w:rFonts w:hint="eastAsia"/>
          <w:color w:val="auto"/>
        </w:rPr>
        <w:t>1.群众防灾减灾的认识依然不足。</w:t>
      </w:r>
    </w:p>
    <w:p>
      <w:pPr>
        <w:ind w:firstLine="640"/>
        <w:rPr>
          <w:color w:val="auto"/>
          <w:szCs w:val="28"/>
        </w:rPr>
      </w:pPr>
      <w:r>
        <w:rPr>
          <w:color w:val="auto"/>
          <w:szCs w:val="28"/>
        </w:rPr>
        <w:t>群众对地质灾害的预判不足、抵御能力及综合防治能力不足，存在认识不到位、防治方法不当等问题。全</w:t>
      </w:r>
      <w:r>
        <w:rPr>
          <w:rFonts w:hint="eastAsia"/>
          <w:color w:val="auto"/>
          <w:szCs w:val="28"/>
        </w:rPr>
        <w:t>县</w:t>
      </w:r>
      <w:r>
        <w:rPr>
          <w:color w:val="auto"/>
          <w:szCs w:val="28"/>
        </w:rPr>
        <w:t>每年均有新增地质灾害隐患点，大部分灾害点的发生与群众防治不当有关。</w:t>
      </w:r>
    </w:p>
    <w:p>
      <w:pPr>
        <w:pStyle w:val="5"/>
        <w:ind w:firstLine="643"/>
        <w:rPr>
          <w:color w:val="auto"/>
        </w:rPr>
      </w:pPr>
      <w:r>
        <w:rPr>
          <w:rFonts w:hint="eastAsia"/>
          <w:color w:val="auto"/>
        </w:rPr>
        <w:t>2.防治经费不足。</w:t>
      </w:r>
    </w:p>
    <w:p>
      <w:pPr>
        <w:ind w:firstLine="640"/>
        <w:rPr>
          <w:color w:val="auto"/>
        </w:rPr>
      </w:pPr>
      <w:r>
        <w:rPr>
          <w:rFonts w:hint="eastAsia"/>
          <w:color w:val="auto"/>
        </w:rPr>
        <w:t>地质灾害防治需要大量的资金支持，经过十年规划，</w:t>
      </w:r>
      <w:r>
        <w:rPr>
          <w:rFonts w:hint="eastAsia"/>
          <w:color w:val="auto"/>
          <w:szCs w:val="28"/>
        </w:rPr>
        <w:t>勐海县</w:t>
      </w:r>
      <w:r>
        <w:rPr>
          <w:rFonts w:hint="eastAsia"/>
          <w:color w:val="auto"/>
        </w:rPr>
        <w:t>共计投入地质灾害防治专项资金</w:t>
      </w:r>
      <w:r>
        <w:rPr>
          <w:rFonts w:hint="eastAsia" w:ascii="Times New Roman" w:hAnsi="Times New Roman"/>
          <w:color w:val="auto"/>
        </w:rPr>
        <w:t>6725</w:t>
      </w:r>
      <w:r>
        <w:rPr>
          <w:rFonts w:hint="eastAsia"/>
          <w:color w:val="auto"/>
        </w:rPr>
        <w:t>万元，完成</w:t>
      </w:r>
      <w:r>
        <w:rPr>
          <w:rFonts w:hint="eastAsia" w:ascii="Times New Roman" w:hAnsi="Times New Roman"/>
          <w:color w:val="auto"/>
        </w:rPr>
        <w:t>36</w:t>
      </w:r>
      <w:r>
        <w:rPr>
          <w:rFonts w:hint="eastAsia"/>
          <w:color w:val="auto"/>
        </w:rPr>
        <w:t>个地质灾害治理项目和</w:t>
      </w:r>
      <w:r>
        <w:rPr>
          <w:rFonts w:hint="eastAsia" w:ascii="Times New Roman" w:hAnsi="Times New Roman"/>
          <w:color w:val="auto"/>
        </w:rPr>
        <w:t>1</w:t>
      </w:r>
      <w:r>
        <w:rPr>
          <w:rFonts w:hint="eastAsia"/>
          <w:color w:val="auto"/>
        </w:rPr>
        <w:t>个避险搬迁项目，所有在册地质灾害隐患点均配置监测员。但全县目前依然还有</w:t>
      </w:r>
      <w:r>
        <w:rPr>
          <w:rFonts w:hint="eastAsia" w:ascii="Times New Roman" w:hAnsi="Times New Roman"/>
          <w:color w:val="auto"/>
        </w:rPr>
        <w:t>44</w:t>
      </w:r>
      <w:r>
        <w:rPr>
          <w:rFonts w:hint="eastAsia"/>
          <w:color w:val="auto"/>
        </w:rPr>
        <w:t>处地质灾害隐患点，威胁</w:t>
      </w:r>
      <w:r>
        <w:rPr>
          <w:rFonts w:hint="eastAsia" w:ascii="Times New Roman" w:hAnsi="Times New Roman"/>
          <w:color w:val="auto"/>
        </w:rPr>
        <w:t>1118</w:t>
      </w:r>
      <w:r>
        <w:rPr>
          <w:rFonts w:hint="eastAsia"/>
          <w:color w:val="auto"/>
        </w:rPr>
        <w:t>户，威胁人口</w:t>
      </w:r>
      <w:r>
        <w:rPr>
          <w:rFonts w:hint="eastAsia" w:ascii="Times New Roman" w:hAnsi="Times New Roman"/>
          <w:color w:val="auto"/>
        </w:rPr>
        <w:t>4910</w:t>
      </w:r>
      <w:r>
        <w:rPr>
          <w:rFonts w:hint="eastAsia"/>
          <w:color w:val="auto"/>
        </w:rPr>
        <w:t>人，威胁财产总数</w:t>
      </w:r>
      <w:r>
        <w:rPr>
          <w:rFonts w:hint="eastAsia" w:ascii="Times New Roman" w:hAnsi="Times New Roman"/>
          <w:color w:val="auto"/>
        </w:rPr>
        <w:t>15565</w:t>
      </w:r>
      <w:r>
        <w:rPr>
          <w:rFonts w:hint="eastAsia"/>
          <w:color w:val="auto"/>
        </w:rPr>
        <w:t>万元。勐海县地质灾害以中小型为主，需要州市（县）级配套资金，由于全县财政困难，地质灾害防治资金有限，需要工程治理的地质灾害点无法实施治理工作。在地质灾害基础数据调查方面，大部分依托省级、国家级资金支持以及立项，造成全县地质灾害防治偏于被动。</w:t>
      </w:r>
    </w:p>
    <w:p>
      <w:pPr>
        <w:pStyle w:val="5"/>
        <w:ind w:firstLine="643"/>
        <w:rPr>
          <w:color w:val="auto"/>
        </w:rPr>
      </w:pPr>
      <w:r>
        <w:rPr>
          <w:rFonts w:hint="eastAsia"/>
          <w:color w:val="auto"/>
        </w:rPr>
        <w:t>3.监测预警专业化和信息化水平亟待加强。</w:t>
      </w:r>
    </w:p>
    <w:p>
      <w:pPr>
        <w:ind w:firstLine="640"/>
        <w:rPr>
          <w:color w:val="auto"/>
        </w:rPr>
      </w:pPr>
      <w:r>
        <w:rPr>
          <w:color w:val="auto"/>
        </w:rPr>
        <w:t>地质灾害具有复杂性、隐蔽性和动态变化的新特点，传统的监测预警方法不能满足灾害防治的需求，尤其对于中远程滑坡、沟谷型泥石流，一旦发生容易造成较大范围的灾害影响，同时，该类地质灾害均具有瞬时性，预判困难，群测群防难度大，而监测预警专业化和信息化能够迅速进行报警，并及时上传数据，达到部、省、州、市（县）共享，有利于成功避险，在灾害发生后能够及时开展应急处置。</w:t>
      </w:r>
    </w:p>
    <w:p>
      <w:pPr>
        <w:pStyle w:val="5"/>
        <w:ind w:firstLine="643"/>
        <w:rPr>
          <w:color w:val="auto"/>
        </w:rPr>
      </w:pPr>
      <w:r>
        <w:rPr>
          <w:rFonts w:hint="eastAsia"/>
          <w:color w:val="auto"/>
        </w:rPr>
        <w:t>4.</w:t>
      </w:r>
      <w:r>
        <w:rPr>
          <w:color w:val="auto"/>
        </w:rPr>
        <w:t>地质灾害影响区的空间管控机制还未形成</w:t>
      </w:r>
    </w:p>
    <w:p>
      <w:pPr>
        <w:ind w:firstLine="640"/>
        <w:rPr>
          <w:color w:val="auto"/>
          <w:szCs w:val="28"/>
        </w:rPr>
      </w:pPr>
      <w:r>
        <w:rPr>
          <w:color w:val="auto"/>
          <w:szCs w:val="28"/>
        </w:rPr>
        <w:t>地质灾害影响区的管控目前仅停留在在册的隐患点上，且仅以口头等形式进行管控，在隐患得到缓解或在一定条件下稳定后，隐患点被核销，管控逐渐松懈，一旦影响区环境的变化，再次引发灾害的可能性大。</w:t>
      </w:r>
    </w:p>
    <w:p>
      <w:pPr>
        <w:pStyle w:val="5"/>
        <w:ind w:firstLine="643"/>
        <w:rPr>
          <w:color w:val="auto"/>
        </w:rPr>
      </w:pPr>
      <w:r>
        <w:rPr>
          <w:rFonts w:hint="eastAsia"/>
          <w:color w:val="auto"/>
        </w:rPr>
        <w:t>5.风险防控和防灾能力建设依然不足</w:t>
      </w:r>
    </w:p>
    <w:p>
      <w:pPr>
        <w:ind w:firstLine="640"/>
        <w:rPr>
          <w:color w:val="auto"/>
          <w:szCs w:val="28"/>
        </w:rPr>
      </w:pPr>
      <w:r>
        <w:rPr>
          <w:color w:val="auto"/>
          <w:szCs w:val="28"/>
        </w:rPr>
        <w:t>风险管控突出从源头控制地质灾害风险的能力，体现在灾前预防、临灾防治、灾后管控，</w:t>
      </w:r>
      <w:r>
        <w:rPr>
          <w:color w:val="auto"/>
        </w:rPr>
        <w:t>前期地质灾害防治工作基本按照原国土资源部启动地质灾害防治高标准</w:t>
      </w:r>
      <w:r>
        <w:rPr>
          <w:rFonts w:hint="eastAsia"/>
          <w:color w:val="auto"/>
        </w:rPr>
        <w:t>“</w:t>
      </w:r>
      <w:r>
        <w:rPr>
          <w:color w:val="auto"/>
        </w:rPr>
        <w:t>十有县</w:t>
      </w:r>
      <w:r>
        <w:rPr>
          <w:rFonts w:hint="eastAsia"/>
          <w:color w:val="auto"/>
        </w:rPr>
        <w:t>”</w:t>
      </w:r>
      <w:r>
        <w:rPr>
          <w:color w:val="auto"/>
        </w:rPr>
        <w:t>建设，主要针对的是现有地质灾害隐患点，但存在风险底数不清，风险识别、风险评价、风险区划和风险管控技术支撑体系待健全完善。尤其是地质灾害发育规律和灾害链认识上依然不足、潜在隐患早期识别仍不到位、缺少极端条件下地质灾害风险评价、成果总结集成服务不够等问题依然突出，</w:t>
      </w:r>
      <w:r>
        <w:rPr>
          <w:color w:val="auto"/>
          <w:szCs w:val="28"/>
        </w:rPr>
        <w:t>灾前预防与灾后管控均较为薄弱，与目前新形势下的地质灾害防治有较大的差距。</w:t>
      </w:r>
    </w:p>
    <w:bookmarkEnd w:id="25"/>
    <w:bookmarkEnd w:id="26"/>
    <w:bookmarkEnd w:id="27"/>
    <w:p>
      <w:pPr>
        <w:pStyle w:val="4"/>
        <w:ind w:firstLine="640"/>
        <w:rPr>
          <w:color w:val="auto"/>
        </w:rPr>
      </w:pPr>
      <w:bookmarkStart w:id="28" w:name="_Toc78495267"/>
      <w:bookmarkStart w:id="29" w:name="_Toc9822"/>
      <w:bookmarkStart w:id="30" w:name="_Hlk76735817"/>
      <w:r>
        <w:rPr>
          <w:rFonts w:hint="eastAsia"/>
          <w:color w:val="auto"/>
        </w:rPr>
        <w:t>（五）“</w:t>
      </w:r>
      <w:r>
        <w:rPr>
          <w:color w:val="auto"/>
        </w:rPr>
        <w:t>十四五</w:t>
      </w:r>
      <w:r>
        <w:rPr>
          <w:rFonts w:hint="eastAsia"/>
          <w:color w:val="auto"/>
        </w:rPr>
        <w:t>”时期</w:t>
      </w:r>
      <w:r>
        <w:rPr>
          <w:color w:val="auto"/>
        </w:rPr>
        <w:t>地质灾害防治面临的形势</w:t>
      </w:r>
      <w:bookmarkEnd w:id="28"/>
      <w:bookmarkEnd w:id="29"/>
    </w:p>
    <w:p>
      <w:pPr>
        <w:pStyle w:val="5"/>
        <w:ind w:firstLine="643"/>
        <w:rPr>
          <w:color w:val="auto"/>
        </w:rPr>
      </w:pPr>
      <w:bookmarkStart w:id="31" w:name="_Hlk76045198"/>
      <w:bookmarkStart w:id="32" w:name="_Hlk73625178"/>
      <w:r>
        <w:rPr>
          <w:color w:val="auto"/>
        </w:rPr>
        <w:t>1</w:t>
      </w:r>
      <w:r>
        <w:rPr>
          <w:rFonts w:hint="eastAsia"/>
          <w:color w:val="auto"/>
        </w:rPr>
        <w:t>.</w:t>
      </w:r>
      <w:r>
        <w:rPr>
          <w:color w:val="auto"/>
        </w:rPr>
        <w:t>人类工程引发地质灾害增多</w:t>
      </w:r>
    </w:p>
    <w:p>
      <w:pPr>
        <w:ind w:firstLine="640"/>
        <w:rPr>
          <w:color w:val="auto"/>
        </w:rPr>
      </w:pPr>
      <w:r>
        <w:rPr>
          <w:color w:val="auto"/>
        </w:rPr>
        <w:t>进入</w:t>
      </w:r>
      <w:r>
        <w:rPr>
          <w:rFonts w:hint="eastAsia"/>
          <w:color w:val="auto"/>
        </w:rPr>
        <w:t>“</w:t>
      </w:r>
      <w:r>
        <w:rPr>
          <w:color w:val="auto"/>
        </w:rPr>
        <w:t>十四五</w:t>
      </w:r>
      <w:r>
        <w:rPr>
          <w:rFonts w:hint="eastAsia"/>
          <w:color w:val="auto"/>
        </w:rPr>
        <w:t>”时期</w:t>
      </w:r>
      <w:r>
        <w:rPr>
          <w:color w:val="auto"/>
        </w:rPr>
        <w:t>，</w:t>
      </w:r>
      <w:r>
        <w:rPr>
          <w:rFonts w:hint="eastAsia"/>
          <w:color w:val="auto"/>
        </w:rPr>
        <w:t>全县</w:t>
      </w:r>
      <w:r>
        <w:rPr>
          <w:color w:val="auto"/>
        </w:rPr>
        <w:t>基础设施建设</w:t>
      </w:r>
      <w:r>
        <w:rPr>
          <w:rFonts w:hint="eastAsia"/>
          <w:color w:val="auto"/>
        </w:rPr>
        <w:t>，包括高速公路建设、水库建设、水库扩建加固工程、灌区节水改造建设、水管网建设改造、电网升级改造</w:t>
      </w:r>
      <w:r>
        <w:rPr>
          <w:color w:val="auto"/>
        </w:rPr>
        <w:t>以及群众建房</w:t>
      </w:r>
      <w:r>
        <w:rPr>
          <w:rFonts w:hint="eastAsia"/>
          <w:color w:val="auto"/>
        </w:rPr>
        <w:t>等人类工程活动</w:t>
      </w:r>
      <w:r>
        <w:rPr>
          <w:color w:val="auto"/>
        </w:rPr>
        <w:t>，这些人类工程建设活动过程中的整坡塑台活动，常形成不稳定高陡边坡，若未得到有效处置或处置不到位，在地表水冲蚀及风化作用下，可产生陡坎失稳，引发滑坡、崩塌等地质灾害，对建设工程以及周边区域构成严重的威胁。</w:t>
      </w:r>
    </w:p>
    <w:p>
      <w:pPr>
        <w:pStyle w:val="5"/>
        <w:ind w:firstLine="643"/>
        <w:rPr>
          <w:color w:val="auto"/>
        </w:rPr>
      </w:pPr>
      <w:r>
        <w:rPr>
          <w:color w:val="auto"/>
        </w:rPr>
        <w:t>2</w:t>
      </w:r>
      <w:r>
        <w:rPr>
          <w:rFonts w:hint="eastAsia"/>
          <w:color w:val="auto"/>
        </w:rPr>
        <w:t>.</w:t>
      </w:r>
      <w:r>
        <w:rPr>
          <w:color w:val="auto"/>
        </w:rPr>
        <w:t>山区地质灾害防治形势依然严峻</w:t>
      </w:r>
    </w:p>
    <w:p>
      <w:pPr>
        <w:ind w:firstLine="640"/>
        <w:rPr>
          <w:color w:val="auto"/>
        </w:rPr>
      </w:pPr>
      <w:r>
        <w:rPr>
          <w:color w:val="auto"/>
        </w:rPr>
        <w:t>山区地质环境脆弱，地质灾害具有隐蔽性，较难及时发现，群众防灾意识薄弱，缺乏紧急避灾以及应急处置机制，发灾容易引发群体性伤亡事故。</w:t>
      </w:r>
    </w:p>
    <w:p>
      <w:pPr>
        <w:pStyle w:val="5"/>
        <w:ind w:firstLine="643"/>
        <w:rPr>
          <w:color w:val="auto"/>
        </w:rPr>
      </w:pPr>
      <w:r>
        <w:rPr>
          <w:color w:val="auto"/>
        </w:rPr>
        <w:t>3</w:t>
      </w:r>
      <w:r>
        <w:rPr>
          <w:rFonts w:hint="eastAsia"/>
          <w:color w:val="auto"/>
        </w:rPr>
        <w:t>.</w:t>
      </w:r>
      <w:r>
        <w:rPr>
          <w:color w:val="auto"/>
        </w:rPr>
        <w:t>气候变化大，地震、暴雨等加剧新的地质灾害的发生</w:t>
      </w:r>
    </w:p>
    <w:p>
      <w:pPr>
        <w:ind w:firstLine="640"/>
        <w:rPr>
          <w:color w:val="auto"/>
          <w:szCs w:val="28"/>
        </w:rPr>
      </w:pPr>
      <w:r>
        <w:rPr>
          <w:color w:val="auto"/>
          <w:szCs w:val="28"/>
        </w:rPr>
        <w:t>近年来，极端天气、极端气候频发，加剧了地质灾害点发生的不确定性，</w:t>
      </w:r>
      <w:r>
        <w:rPr>
          <w:rFonts w:hint="eastAsia"/>
          <w:color w:val="auto"/>
          <w:szCs w:val="28"/>
        </w:rPr>
        <w:t>勐海县</w:t>
      </w:r>
      <w:r>
        <w:rPr>
          <w:color w:val="auto"/>
          <w:szCs w:val="28"/>
        </w:rPr>
        <w:t>分布活动性断裂，</w:t>
      </w:r>
      <w:r>
        <w:rPr>
          <w:rFonts w:hint="eastAsia"/>
          <w:color w:val="auto"/>
          <w:szCs w:val="28"/>
        </w:rPr>
        <w:t>主要为</w:t>
      </w:r>
      <w:r>
        <w:rPr>
          <w:rFonts w:hint="eastAsia"/>
          <w:color w:val="auto"/>
        </w:rPr>
        <w:t>打洛断裂及澜沧-勐遮断裂，</w:t>
      </w:r>
      <w:r>
        <w:rPr>
          <w:color w:val="auto"/>
          <w:szCs w:val="28"/>
        </w:rPr>
        <w:t>受两大地震带的影响，大震稀少，小震频繁，地震等诱发地质灾害的风险依然较大。</w:t>
      </w:r>
    </w:p>
    <w:p>
      <w:pPr>
        <w:pStyle w:val="5"/>
        <w:ind w:firstLine="643"/>
        <w:rPr>
          <w:color w:val="auto"/>
        </w:rPr>
      </w:pPr>
      <w:r>
        <w:rPr>
          <w:color w:val="auto"/>
        </w:rPr>
        <w:t>4</w:t>
      </w:r>
      <w:r>
        <w:rPr>
          <w:rFonts w:hint="eastAsia"/>
          <w:color w:val="auto"/>
        </w:rPr>
        <w:t>.</w:t>
      </w:r>
      <w:r>
        <w:rPr>
          <w:color w:val="auto"/>
        </w:rPr>
        <w:t>地质灾害工程治理及因灾搬迁实施难度加大</w:t>
      </w:r>
    </w:p>
    <w:p>
      <w:pPr>
        <w:ind w:firstLine="640"/>
        <w:rPr>
          <w:color w:val="auto"/>
          <w:szCs w:val="28"/>
        </w:rPr>
      </w:pPr>
      <w:r>
        <w:rPr>
          <w:color w:val="auto"/>
          <w:szCs w:val="28"/>
        </w:rPr>
        <w:t>随着群众对生活质量的提升，地质灾害防治在注重于安全经济的前提下，需结合生态环境保护、国土空间规划等进行方案设计，治理及搬迁费用将出现较大增幅，方案实施需经过多部门共同联动。</w:t>
      </w:r>
    </w:p>
    <w:p>
      <w:pPr>
        <w:pStyle w:val="5"/>
        <w:ind w:firstLine="643"/>
        <w:rPr>
          <w:color w:val="auto"/>
        </w:rPr>
      </w:pPr>
      <w:r>
        <w:rPr>
          <w:color w:val="auto"/>
        </w:rPr>
        <w:t>5</w:t>
      </w:r>
      <w:r>
        <w:rPr>
          <w:rFonts w:hint="eastAsia"/>
          <w:color w:val="auto"/>
        </w:rPr>
        <w:t>.</w:t>
      </w:r>
      <w:r>
        <w:rPr>
          <w:color w:val="auto"/>
        </w:rPr>
        <w:t>新时期对地质灾害防治工作提出了更高的要求</w:t>
      </w:r>
    </w:p>
    <w:p>
      <w:pPr>
        <w:ind w:firstLine="640"/>
        <w:rPr>
          <w:color w:val="auto"/>
        </w:rPr>
      </w:pPr>
      <w:r>
        <w:rPr>
          <w:color w:val="auto"/>
        </w:rPr>
        <w:t>习近平总书记多次对新时期地质灾害防治工作进行了重要部署，强调要健全风险防范化解机制，坚持从源头上防范化解重大安全风险，真正把问题解决在萌芽之时、成灾之前，提出新时期减灾防灾的</w:t>
      </w:r>
      <w:r>
        <w:rPr>
          <w:rFonts w:hint="eastAsia"/>
          <w:color w:val="auto"/>
        </w:rPr>
        <w:t>“</w:t>
      </w:r>
      <w:r>
        <w:rPr>
          <w:color w:val="auto"/>
        </w:rPr>
        <w:t>两个坚持、三个转变</w:t>
      </w:r>
      <w:r>
        <w:rPr>
          <w:rFonts w:hint="eastAsia"/>
          <w:color w:val="auto"/>
        </w:rPr>
        <w:t>”</w:t>
      </w:r>
      <w:r>
        <w:rPr>
          <w:color w:val="auto"/>
        </w:rPr>
        <w:t>理念，即坚持以防为主、防抗救相结合、坚持常态减灾和非常态救灾相统一、从注重灾后救助向注重灾前预防转变、从应对单一灾种向综合减灾转变、从减少灾害损失向减轻灾害风险转变。</w:t>
      </w:r>
      <w:bookmarkEnd w:id="30"/>
      <w:bookmarkEnd w:id="31"/>
      <w:bookmarkEnd w:id="32"/>
      <w:bookmarkStart w:id="33" w:name="_Toc78495268"/>
      <w:bookmarkStart w:id="34" w:name="_Hlk76735912"/>
    </w:p>
    <w:p>
      <w:pPr>
        <w:pStyle w:val="4"/>
        <w:ind w:firstLine="640"/>
        <w:rPr>
          <w:color w:val="auto"/>
        </w:rPr>
      </w:pPr>
      <w:bookmarkStart w:id="35" w:name="_Toc31779"/>
      <w:r>
        <w:rPr>
          <w:rFonts w:hint="eastAsia"/>
          <w:color w:val="auto"/>
        </w:rPr>
        <w:t>（六）</w:t>
      </w:r>
      <w:r>
        <w:rPr>
          <w:color w:val="auto"/>
        </w:rPr>
        <w:t>下一步工作计划</w:t>
      </w:r>
      <w:bookmarkEnd w:id="33"/>
      <w:bookmarkEnd w:id="35"/>
    </w:p>
    <w:bookmarkEnd w:id="34"/>
    <w:p>
      <w:pPr>
        <w:pStyle w:val="5"/>
        <w:ind w:firstLine="643"/>
        <w:rPr>
          <w:color w:val="auto"/>
        </w:rPr>
      </w:pPr>
      <w:r>
        <w:rPr>
          <w:rFonts w:hint="eastAsia"/>
          <w:color w:val="auto"/>
        </w:rPr>
        <w:t>1.</w:t>
      </w:r>
      <w:r>
        <w:rPr>
          <w:color w:val="auto"/>
        </w:rPr>
        <w:t>巩固已有成果，继续开展工程治理、搬迁避让、监测预警等防范措施</w:t>
      </w:r>
    </w:p>
    <w:p>
      <w:pPr>
        <w:ind w:firstLine="640"/>
        <w:rPr>
          <w:color w:val="auto"/>
        </w:rPr>
      </w:pPr>
      <w:r>
        <w:rPr>
          <w:color w:val="auto"/>
        </w:rPr>
        <w:t>在充分评估现有隐患点上，梳理适合工程治理和搬迁避让、专业监测的地质灾害隐患点，按计划逐步实施。</w:t>
      </w:r>
    </w:p>
    <w:p>
      <w:pPr>
        <w:pStyle w:val="5"/>
        <w:ind w:firstLine="643"/>
        <w:rPr>
          <w:color w:val="auto"/>
        </w:rPr>
      </w:pPr>
      <w:r>
        <w:rPr>
          <w:rFonts w:hint="eastAsia"/>
          <w:color w:val="auto"/>
        </w:rPr>
        <w:t>2.</w:t>
      </w:r>
      <w:r>
        <w:rPr>
          <w:color w:val="auto"/>
        </w:rPr>
        <w:t>完善体制机制，推进部门联动</w:t>
      </w:r>
    </w:p>
    <w:p>
      <w:pPr>
        <w:ind w:firstLine="640"/>
        <w:rPr>
          <w:color w:val="auto"/>
          <w:szCs w:val="22"/>
        </w:rPr>
      </w:pPr>
      <w:r>
        <w:rPr>
          <w:color w:val="auto"/>
          <w:szCs w:val="22"/>
        </w:rPr>
        <w:t>坚持以防为主、防抗救结合，建立</w:t>
      </w:r>
      <w:r>
        <w:rPr>
          <w:rFonts w:hint="eastAsia"/>
          <w:color w:val="auto"/>
          <w:szCs w:val="22"/>
        </w:rPr>
        <w:t>各行业、各部门及</w:t>
      </w:r>
      <w:r>
        <w:rPr>
          <w:color w:val="auto"/>
          <w:szCs w:val="22"/>
        </w:rPr>
        <w:t>各类技术支撑单位各司其职的常态化地质灾害防范工作机制。督促主管行业的部门完善地质灾害、病险水库的治理，将灾害隐患点的预防、监测工作具体落实。建设完善以自然灾害数据库为核心的灾害管理综合信息平台。</w:t>
      </w:r>
    </w:p>
    <w:p>
      <w:pPr>
        <w:pStyle w:val="5"/>
        <w:ind w:firstLine="643"/>
        <w:rPr>
          <w:color w:val="auto"/>
        </w:rPr>
      </w:pPr>
      <w:r>
        <w:rPr>
          <w:rFonts w:hint="eastAsia"/>
          <w:color w:val="auto"/>
        </w:rPr>
        <w:t>3.</w:t>
      </w:r>
      <w:r>
        <w:rPr>
          <w:color w:val="auto"/>
        </w:rPr>
        <w:t>加大管理培训，做好宣传教育</w:t>
      </w:r>
    </w:p>
    <w:p>
      <w:pPr>
        <w:ind w:firstLine="640"/>
        <w:rPr>
          <w:color w:val="auto"/>
          <w:szCs w:val="22"/>
        </w:rPr>
      </w:pPr>
      <w:r>
        <w:rPr>
          <w:color w:val="auto"/>
          <w:szCs w:val="22"/>
        </w:rPr>
        <w:t>充分利用好</w:t>
      </w:r>
      <w:r>
        <w:rPr>
          <w:rFonts w:hint="eastAsia"/>
          <w:color w:val="auto"/>
          <w:szCs w:val="22"/>
        </w:rPr>
        <w:t>“</w:t>
      </w:r>
      <w:r>
        <w:rPr>
          <w:color w:val="auto"/>
          <w:szCs w:val="22"/>
        </w:rPr>
        <w:t>驻县联乡</w:t>
      </w:r>
      <w:r>
        <w:rPr>
          <w:rFonts w:hint="eastAsia"/>
          <w:color w:val="auto"/>
          <w:szCs w:val="22"/>
        </w:rPr>
        <w:t>”</w:t>
      </w:r>
      <w:r>
        <w:rPr>
          <w:color w:val="auto"/>
          <w:szCs w:val="22"/>
        </w:rPr>
        <w:t>地质灾害防治技术支撑队伍的力量，进一步加强地质灾害防治体系建设。适时组织各部门、参加突发自然灾害应急培训班或研讨会，集体学习防灾减灾救灾新知识、新理论，普遍提高领导干部的灾害应急指挥决策能力，做到反应迅速、施救有效。</w:t>
      </w:r>
    </w:p>
    <w:p>
      <w:pPr>
        <w:pStyle w:val="5"/>
        <w:ind w:firstLine="643"/>
        <w:rPr>
          <w:color w:val="auto"/>
        </w:rPr>
      </w:pPr>
      <w:r>
        <w:rPr>
          <w:rFonts w:hint="eastAsia"/>
          <w:color w:val="auto"/>
        </w:rPr>
        <w:t>4.</w:t>
      </w:r>
      <w:r>
        <w:rPr>
          <w:color w:val="auto"/>
        </w:rPr>
        <w:t>积极争取省级、国家级地质灾害防治资金</w:t>
      </w:r>
    </w:p>
    <w:p>
      <w:pPr>
        <w:ind w:firstLine="640"/>
        <w:rPr>
          <w:color w:val="auto"/>
          <w:szCs w:val="22"/>
        </w:rPr>
      </w:pPr>
      <w:r>
        <w:rPr>
          <w:color w:val="auto"/>
          <w:szCs w:val="22"/>
        </w:rPr>
        <w:t>以地质灾害防治</w:t>
      </w:r>
      <w:r>
        <w:rPr>
          <w:rFonts w:hint="eastAsia"/>
          <w:color w:val="auto"/>
          <w:szCs w:val="22"/>
        </w:rPr>
        <w:t>“</w:t>
      </w:r>
      <w:r>
        <w:rPr>
          <w:color w:val="auto"/>
          <w:szCs w:val="22"/>
        </w:rPr>
        <w:t>三年行动计划</w:t>
      </w:r>
      <w:r>
        <w:rPr>
          <w:rFonts w:hint="eastAsia"/>
          <w:color w:val="auto"/>
          <w:szCs w:val="22"/>
        </w:rPr>
        <w:t>”</w:t>
      </w:r>
      <w:r>
        <w:rPr>
          <w:color w:val="auto"/>
          <w:szCs w:val="22"/>
        </w:rPr>
        <w:t>、</w:t>
      </w:r>
      <w:r>
        <w:rPr>
          <w:rFonts w:hint="eastAsia"/>
          <w:color w:val="auto"/>
          <w:szCs w:val="22"/>
        </w:rPr>
        <w:t>“</w:t>
      </w:r>
      <w:r>
        <w:rPr>
          <w:color w:val="auto"/>
          <w:szCs w:val="22"/>
        </w:rPr>
        <w:t>十四五</w:t>
      </w:r>
      <w:r>
        <w:rPr>
          <w:rFonts w:hint="eastAsia"/>
          <w:color w:val="auto"/>
          <w:szCs w:val="22"/>
        </w:rPr>
        <w:t>”</w:t>
      </w:r>
      <w:r>
        <w:rPr>
          <w:color w:val="auto"/>
          <w:szCs w:val="22"/>
        </w:rPr>
        <w:t>规划编制为契机，积极做好地质灾害前期项目储备，提前制定年度工作计划。</w:t>
      </w:r>
    </w:p>
    <w:p>
      <w:pPr>
        <w:pStyle w:val="5"/>
        <w:ind w:firstLine="643"/>
        <w:rPr>
          <w:color w:val="auto"/>
        </w:rPr>
      </w:pPr>
      <w:r>
        <w:rPr>
          <w:rFonts w:hint="eastAsia"/>
          <w:color w:val="auto"/>
        </w:rPr>
        <w:t>5.</w:t>
      </w:r>
      <w:r>
        <w:rPr>
          <w:color w:val="auto"/>
        </w:rPr>
        <w:t>加大地质灾害基础调查方面的投入</w:t>
      </w:r>
    </w:p>
    <w:p>
      <w:pPr>
        <w:ind w:firstLine="640"/>
        <w:rPr>
          <w:color w:val="auto"/>
          <w:szCs w:val="22"/>
        </w:rPr>
      </w:pPr>
      <w:r>
        <w:rPr>
          <w:color w:val="auto"/>
        </w:rPr>
        <w:t>开展全</w:t>
      </w:r>
      <w:r>
        <w:rPr>
          <w:rFonts w:hint="eastAsia"/>
          <w:color w:val="auto"/>
          <w:lang w:val="en-US" w:eastAsia="zh-CN"/>
        </w:rPr>
        <w:t>县</w:t>
      </w:r>
      <w:r>
        <w:rPr>
          <w:rFonts w:hint="eastAsia"/>
          <w:color w:val="auto"/>
        </w:rPr>
        <w:t>1：50000</w:t>
      </w:r>
      <w:r>
        <w:rPr>
          <w:color w:val="auto"/>
        </w:rPr>
        <w:t>地质灾害风险普查以及1：10000地质灾害精细化调查，开展地质灾害与孕灾地质条件、承灾体调查，判识地质灾害隐患，总结调查区地质灾害发育分布规律，分析地质灾害成灾模式，建立地质灾害调查空间数据库，摸清全</w:t>
      </w:r>
      <w:r>
        <w:rPr>
          <w:rFonts w:hint="eastAsia"/>
          <w:color w:val="auto"/>
          <w:lang w:val="en-US" w:eastAsia="zh-CN"/>
        </w:rPr>
        <w:t>县</w:t>
      </w:r>
      <w:r>
        <w:rPr>
          <w:color w:val="auto"/>
        </w:rPr>
        <w:t>地质灾害风险防控和防灾能力，</w:t>
      </w:r>
      <w:r>
        <w:rPr>
          <w:color w:val="auto"/>
          <w:szCs w:val="28"/>
        </w:rPr>
        <w:t>在</w:t>
      </w:r>
      <w:r>
        <w:rPr>
          <w:color w:val="auto"/>
        </w:rPr>
        <w:t>地质灾害发育规律和灾害链的认识、潜在隐患早期识别以及</w:t>
      </w:r>
      <w:r>
        <w:rPr>
          <w:color w:val="auto"/>
          <w:szCs w:val="28"/>
        </w:rPr>
        <w:t>灾前预防和灾后管控方面有新的突破</w:t>
      </w:r>
      <w:r>
        <w:rPr>
          <w:color w:val="auto"/>
          <w:szCs w:val="22"/>
        </w:rPr>
        <w:t>。</w:t>
      </w:r>
    </w:p>
    <w:p>
      <w:pPr>
        <w:pStyle w:val="5"/>
        <w:ind w:firstLine="643"/>
        <w:rPr>
          <w:color w:val="auto"/>
        </w:rPr>
      </w:pPr>
      <w:r>
        <w:rPr>
          <w:rFonts w:hint="eastAsia"/>
          <w:color w:val="auto"/>
        </w:rPr>
        <w:t>6.</w:t>
      </w:r>
      <w:r>
        <w:rPr>
          <w:color w:val="auto"/>
        </w:rPr>
        <w:t>群测群防体系继续加强</w:t>
      </w:r>
    </w:p>
    <w:p>
      <w:pPr>
        <w:ind w:firstLine="640"/>
        <w:rPr>
          <w:color w:val="auto"/>
          <w:szCs w:val="22"/>
        </w:rPr>
      </w:pPr>
      <w:r>
        <w:rPr>
          <w:color w:val="auto"/>
          <w:szCs w:val="22"/>
        </w:rPr>
        <w:t>重点加强监测预警专业化和信息化水平，逐步建成群专结合体系，增强地质灾害的综合研判能力。</w:t>
      </w:r>
    </w:p>
    <w:p>
      <w:pPr>
        <w:pStyle w:val="5"/>
        <w:ind w:firstLine="643"/>
        <w:rPr>
          <w:color w:val="auto"/>
        </w:rPr>
      </w:pPr>
      <w:r>
        <w:rPr>
          <w:rFonts w:hint="eastAsia"/>
          <w:color w:val="auto"/>
        </w:rPr>
        <w:t>7.</w:t>
      </w:r>
      <w:r>
        <w:rPr>
          <w:color w:val="auto"/>
        </w:rPr>
        <w:t>做好地质灾害防治与国土空间规划衔接工作</w:t>
      </w:r>
    </w:p>
    <w:p>
      <w:pPr>
        <w:ind w:firstLine="640"/>
        <w:rPr>
          <w:color w:val="auto"/>
          <w:szCs w:val="22"/>
        </w:rPr>
      </w:pPr>
      <w:r>
        <w:rPr>
          <w:color w:val="auto"/>
          <w:szCs w:val="22"/>
        </w:rPr>
        <w:t>建立</w:t>
      </w:r>
      <w:r>
        <w:rPr>
          <w:rFonts w:hint="eastAsia"/>
          <w:color w:val="auto"/>
          <w:szCs w:val="22"/>
        </w:rPr>
        <w:t>全县</w:t>
      </w:r>
      <w:r>
        <w:rPr>
          <w:color w:val="auto"/>
          <w:szCs w:val="22"/>
        </w:rPr>
        <w:t>地质灾害影响区的控制性规划，包括工程治理、避让搬迁、核销的地质灾害点。</w:t>
      </w:r>
    </w:p>
    <w:p>
      <w:pPr>
        <w:pStyle w:val="3"/>
        <w:numPr>
          <w:ilvl w:val="0"/>
          <w:numId w:val="0"/>
        </w:numPr>
        <w:ind w:left="640" w:leftChars="200"/>
        <w:rPr>
          <w:color w:val="auto"/>
        </w:rPr>
      </w:pPr>
      <w:bookmarkStart w:id="36" w:name="_Toc29653"/>
      <w:r>
        <w:rPr>
          <w:rFonts w:hint="eastAsia"/>
          <w:color w:val="auto"/>
        </w:rPr>
        <w:t>三、指导思想与规划目标</w:t>
      </w:r>
      <w:bookmarkEnd w:id="13"/>
      <w:bookmarkEnd w:id="36"/>
    </w:p>
    <w:p>
      <w:pPr>
        <w:pStyle w:val="4"/>
        <w:ind w:firstLine="640"/>
        <w:rPr>
          <w:color w:val="auto"/>
        </w:rPr>
      </w:pPr>
      <w:bookmarkStart w:id="37" w:name="_Toc58933917"/>
      <w:bookmarkStart w:id="38" w:name="_Toc28718"/>
      <w:r>
        <w:rPr>
          <w:rFonts w:hint="eastAsia"/>
          <w:color w:val="auto"/>
        </w:rPr>
        <w:t>（一）指导思想</w:t>
      </w:r>
      <w:bookmarkEnd w:id="37"/>
      <w:bookmarkEnd w:id="38"/>
    </w:p>
    <w:p>
      <w:pPr>
        <w:ind w:firstLine="640"/>
        <w:rPr>
          <w:rFonts w:ascii="Times New Roman"/>
          <w:color w:val="auto"/>
          <w:szCs w:val="32"/>
        </w:rPr>
      </w:pPr>
      <w:r>
        <w:rPr>
          <w:rFonts w:hint="eastAsia" w:ascii="Times New Roman"/>
          <w:color w:val="auto"/>
          <w:szCs w:val="32"/>
        </w:rPr>
        <w:t>以习近平新时代中国特色社会主义思想为指导，全面贯彻党的十九大和十九届二中、三中、四中、五中全会精神，贯彻落实习近平总书记关于防灾减灾救灾的系列重要指示精神，立足新发展阶段，贯彻新发展理念，构建新发展格局，以“两个坚持、三个转变”为根本遵循，以提升地质灾害防治能力、减轻地质灾害风险为主线，以保障人民生命财产安全为根本目的，聚焦“隐患在哪里”“结构是什么”“什么时候发生”等关键问题，从勐海县实际出发，依靠科技创新、管理创新和信息化，持续推进地质灾害隐患识别、风险调查评价、监测预警、综合治理和基层防灾能力建设，</w:t>
      </w:r>
      <w:r>
        <w:rPr>
          <w:color w:val="auto"/>
        </w:rPr>
        <w:t>最大限度地减少人员伤亡和经济损失，促进经济效益、社会效益和环境效益的协调发展，为</w:t>
      </w:r>
      <w:r>
        <w:rPr>
          <w:rFonts w:hint="eastAsia"/>
          <w:color w:val="auto"/>
        </w:rPr>
        <w:t>勐海县</w:t>
      </w:r>
      <w:r>
        <w:rPr>
          <w:color w:val="auto"/>
        </w:rPr>
        <w:t>国民经济持续稳定和健康发展服务。</w:t>
      </w:r>
    </w:p>
    <w:p>
      <w:pPr>
        <w:pStyle w:val="4"/>
        <w:ind w:firstLine="640"/>
        <w:rPr>
          <w:color w:val="auto"/>
        </w:rPr>
      </w:pPr>
      <w:bookmarkStart w:id="39" w:name="_Toc9609"/>
      <w:bookmarkStart w:id="40" w:name="_Toc58933918"/>
      <w:r>
        <w:rPr>
          <w:rFonts w:hint="eastAsia"/>
          <w:color w:val="auto"/>
        </w:rPr>
        <w:t>（二）规划原则</w:t>
      </w:r>
      <w:bookmarkEnd w:id="39"/>
      <w:bookmarkEnd w:id="40"/>
    </w:p>
    <w:p>
      <w:pPr>
        <w:ind w:firstLine="640"/>
        <w:rPr>
          <w:color w:val="auto"/>
        </w:rPr>
      </w:pPr>
      <w:r>
        <w:rPr>
          <w:rFonts w:hint="eastAsia"/>
          <w:color w:val="auto"/>
        </w:rPr>
        <w:t>遵循“以预防滑坡泥石流为主，以预测预报为主，以灾前避让为主”的“三为主”方针；贯彻“防治结合、群专结合、单项治理与综合防治相结合、建设发展规划与地质灾害防治规划结合”的“四结合”原则。以保障人民群众的生命财产安全和地方经济健康发展为目标，对受地质灾害严重威胁集镇、村寨、学校、居民点等采取工程治理或搬迁避让措施。具体原则主要包括以下六个方面：</w:t>
      </w:r>
    </w:p>
    <w:p>
      <w:pPr>
        <w:pStyle w:val="5"/>
        <w:ind w:firstLine="643"/>
        <w:rPr>
          <w:color w:val="auto"/>
        </w:rPr>
      </w:pPr>
      <w:bookmarkStart w:id="41" w:name="_Toc58933919"/>
      <w:r>
        <w:rPr>
          <w:rFonts w:hint="eastAsia" w:ascii="Times New Roman" w:hAnsi="Times New Roman"/>
          <w:color w:val="auto"/>
        </w:rPr>
        <w:t>1</w:t>
      </w:r>
      <w:r>
        <w:rPr>
          <w:rFonts w:hint="eastAsia"/>
          <w:color w:val="auto"/>
        </w:rPr>
        <w:t>.坚持依法防治和分级分类负责</w:t>
      </w:r>
    </w:p>
    <w:p>
      <w:pPr>
        <w:ind w:firstLine="640"/>
        <w:rPr>
          <w:color w:val="auto"/>
        </w:rPr>
      </w:pPr>
      <w:r>
        <w:rPr>
          <w:rFonts w:hint="eastAsia"/>
          <w:color w:val="auto"/>
        </w:rPr>
        <w:t>加强和完善地质灾害防治管理制度建设，严格遵守《地质灾害防治条例》和相关法规、规章、管理办法及行业标准，做到依法防灾。坚持政府组织领导、部门分工协作、全社会共同参与，</w:t>
      </w:r>
      <w:r>
        <w:rPr>
          <w:rFonts w:hint="eastAsia"/>
          <w:color w:val="auto"/>
          <w:lang w:val="en-US" w:eastAsia="zh-CN"/>
        </w:rPr>
        <w:t>县</w:t>
      </w:r>
      <w:r>
        <w:rPr>
          <w:rFonts w:hint="eastAsia"/>
          <w:color w:val="auto"/>
        </w:rPr>
        <w:t>政府统筹、分级管理；坚持“谁引发、谁治理”、“谁投资、谁受益”的原则，落实相关责任主体的防治责任。</w:t>
      </w:r>
    </w:p>
    <w:p>
      <w:pPr>
        <w:pStyle w:val="5"/>
        <w:ind w:firstLine="643"/>
        <w:rPr>
          <w:color w:val="auto"/>
        </w:rPr>
      </w:pPr>
      <w:r>
        <w:rPr>
          <w:rFonts w:hint="eastAsia" w:ascii="Times New Roman" w:hAnsi="Times New Roman"/>
          <w:color w:val="auto"/>
        </w:rPr>
        <w:t>2</w:t>
      </w:r>
      <w:r>
        <w:rPr>
          <w:rFonts w:hint="eastAsia"/>
          <w:color w:val="auto"/>
        </w:rPr>
        <w:t>.坚持重心前移和统筹科学规划</w:t>
      </w:r>
    </w:p>
    <w:p>
      <w:pPr>
        <w:ind w:firstLine="640"/>
        <w:rPr>
          <w:color w:val="auto"/>
        </w:rPr>
      </w:pPr>
      <w:r>
        <w:rPr>
          <w:rFonts w:hint="eastAsia"/>
          <w:color w:val="auto"/>
        </w:rPr>
        <w:t>将地质灾害防治工作的重点从灾后救助、灾后治理转移到灾前预防。强化隐患调查排查和风险评价，不断提升地质灾害隐患识别能力，逐步完善监测预警体系，将地质灾害风险管控理念融入国土空间与用途管控，从源头减轻风险；对威胁县城、学校、医院、聚居点和安置区等人口聚居区及重要基础设施安全的重大地质灾害隐患，按风险高低分期分批实施防治，适时处理好局部与整体、近期与远期的关系。</w:t>
      </w:r>
    </w:p>
    <w:p>
      <w:pPr>
        <w:pStyle w:val="5"/>
        <w:ind w:firstLine="643"/>
        <w:rPr>
          <w:color w:val="auto"/>
        </w:rPr>
      </w:pPr>
      <w:r>
        <w:rPr>
          <w:rFonts w:hint="eastAsia" w:ascii="Times New Roman" w:hAnsi="Times New Roman"/>
          <w:color w:val="auto"/>
        </w:rPr>
        <w:t>3</w:t>
      </w:r>
      <w:r>
        <w:rPr>
          <w:rFonts w:hint="eastAsia"/>
          <w:color w:val="auto"/>
        </w:rPr>
        <w:t>.坚持 “ 以人为本，预防为主，避让与治理相结合”</w:t>
      </w:r>
    </w:p>
    <w:p>
      <w:pPr>
        <w:ind w:firstLine="640"/>
        <w:rPr>
          <w:color w:val="auto"/>
        </w:rPr>
      </w:pPr>
      <w:r>
        <w:rPr>
          <w:rFonts w:hint="eastAsia"/>
          <w:color w:val="auto"/>
        </w:rPr>
        <w:t>充分发挥政府在地质灾害防治建设中的主导地位，动员社会各方面力量，在深入开展地质灾害调查与评价的基础上，建立健全具有各地特色的地质灾害监测预警体系，加大地质灾害的综合治理与避险搬迁力度，实现国民经济和生态环境的协调发展。</w:t>
      </w:r>
    </w:p>
    <w:p>
      <w:pPr>
        <w:pStyle w:val="5"/>
        <w:ind w:firstLine="643"/>
        <w:rPr>
          <w:color w:val="auto"/>
        </w:rPr>
      </w:pPr>
      <w:r>
        <w:rPr>
          <w:rFonts w:hint="eastAsia" w:ascii="Times New Roman" w:hAnsi="Times New Roman"/>
          <w:color w:val="auto"/>
        </w:rPr>
        <w:t>4</w:t>
      </w:r>
      <w:r>
        <w:rPr>
          <w:rFonts w:hint="eastAsia"/>
          <w:color w:val="auto"/>
        </w:rPr>
        <w:t>.坚持群专结合，发挥省厅驻县地质灾害指导站作用</w:t>
      </w:r>
    </w:p>
    <w:p>
      <w:pPr>
        <w:ind w:firstLine="640"/>
        <w:rPr>
          <w:color w:val="auto"/>
        </w:rPr>
      </w:pPr>
      <w:r>
        <w:rPr>
          <w:rFonts w:hint="eastAsia"/>
          <w:color w:val="auto"/>
        </w:rPr>
        <w:t>进一步完善“群测群防、群专结合”的监测预警体系，形成制度全面、责任落实、任务到点、信息畅通、反应迅速、效果显著的群专结合的群测群防网络。充分发挥省厅驻县地质灾害指导站在地质灾害指导，使广大民众地质灾害防灾减灾知识普遍得到提高，同时，加强汛前/中/后地质灾害巡排查，提高应急演练质量，实现地质灾害隐患区全民防治，并通过多渠道逐步推广促进全面防治机制的形成。</w:t>
      </w:r>
    </w:p>
    <w:p>
      <w:pPr>
        <w:pStyle w:val="5"/>
        <w:ind w:firstLine="643"/>
        <w:rPr>
          <w:color w:val="auto"/>
        </w:rPr>
      </w:pPr>
      <w:r>
        <w:rPr>
          <w:rFonts w:hint="eastAsia" w:ascii="Times New Roman" w:hAnsi="Times New Roman"/>
          <w:color w:val="auto"/>
        </w:rPr>
        <w:t>5</w:t>
      </w:r>
      <w:r>
        <w:rPr>
          <w:rFonts w:hint="eastAsia"/>
          <w:color w:val="auto"/>
        </w:rPr>
        <w:t>.充分依靠科技进步和管理创新</w:t>
      </w:r>
    </w:p>
    <w:p>
      <w:pPr>
        <w:ind w:firstLine="640"/>
        <w:rPr>
          <w:color w:val="auto"/>
        </w:rPr>
      </w:pPr>
      <w:r>
        <w:rPr>
          <w:rFonts w:hint="eastAsia"/>
          <w:color w:val="auto"/>
        </w:rPr>
        <w:t>大力加强地质灾害调查评价、监测预警、综合治理与避险搬迁以及防治技术装备现代化，着力推进InSAR、无人机航空摄影、激光雷达等综合遥感技术和地理信息技术在地质灾害隐患识别、监测预警、应急响应、动态巡查排查核查等方面的应用，加强高新技术的推广与应用，做到科学防灾减灾。探索并逐步推广开展“隐患点＋风险区”双控管理的制度与措施。</w:t>
      </w:r>
    </w:p>
    <w:p>
      <w:pPr>
        <w:pStyle w:val="5"/>
        <w:ind w:firstLine="643"/>
        <w:rPr>
          <w:color w:val="auto"/>
        </w:rPr>
      </w:pPr>
      <w:r>
        <w:rPr>
          <w:rFonts w:hint="eastAsia" w:ascii="Times New Roman" w:hAnsi="Times New Roman"/>
          <w:color w:val="auto"/>
        </w:rPr>
        <w:t>6.</w:t>
      </w:r>
      <w:r>
        <w:rPr>
          <w:rFonts w:hint="eastAsia"/>
          <w:color w:val="auto"/>
        </w:rPr>
        <w:t>坚持与各类规划的相互衔接和协调</w:t>
      </w:r>
    </w:p>
    <w:p>
      <w:pPr>
        <w:ind w:firstLine="640"/>
        <w:rPr>
          <w:color w:val="auto"/>
        </w:rPr>
      </w:pPr>
      <w:r>
        <w:rPr>
          <w:rFonts w:hint="eastAsia"/>
          <w:color w:val="auto"/>
        </w:rPr>
        <w:t>为了提高规划的综合性、全面性和可实施性，规划协调领导小组应督导相关责任部门和参与规划的技术单位，积极配合、共同做好规划编制工作，实现与本地国民经济和社会发展、国土空间、生态保护修复、矿产资源、水资源开发与保护、山洪灾害防治、新农村建设、农村民居地震安全工程、校安工程、扶贫工程等规划的相协调。</w:t>
      </w:r>
    </w:p>
    <w:p>
      <w:pPr>
        <w:pStyle w:val="4"/>
        <w:ind w:firstLine="640"/>
        <w:rPr>
          <w:color w:val="auto"/>
        </w:rPr>
      </w:pPr>
      <w:bookmarkStart w:id="42" w:name="_Toc18481"/>
      <w:r>
        <w:rPr>
          <w:rFonts w:hint="eastAsia"/>
          <w:color w:val="auto"/>
        </w:rPr>
        <w:t>（三）规划目标</w:t>
      </w:r>
      <w:bookmarkEnd w:id="41"/>
      <w:bookmarkEnd w:id="42"/>
    </w:p>
    <w:p>
      <w:pPr>
        <w:ind w:firstLine="640"/>
        <w:rPr>
          <w:color w:val="auto"/>
        </w:rPr>
      </w:pPr>
      <w:r>
        <w:rPr>
          <w:rFonts w:hint="eastAsia"/>
          <w:color w:val="auto"/>
        </w:rPr>
        <w:t>在“十四五”期间，达到防灾减灾法制化，行政管理更加制度化、防治工作更加规范化，技术经济更加合理化、全民参与更加主动化，全县地质灾害综合防治体系建设迈上新台阶。在查明全县地质灾害的特征、分布、规模、成因及危害程度的基础上，坚持“以人为本”，城镇、学校、村庄，重要交通干线和重要工程设施为防治重点，严格控制人为诱发地质灾害的发生，最大限度减少地质灾害所造成的人员伤亡和财产损失，实现全县地质灾害发生频率逐年下降，灾害损失逐步减小的规划目标。</w:t>
      </w:r>
    </w:p>
    <w:p>
      <w:pPr>
        <w:ind w:firstLine="640"/>
        <w:rPr>
          <w:color w:val="auto"/>
        </w:rPr>
      </w:pPr>
      <w:r>
        <w:rPr>
          <w:rFonts w:hint="eastAsia"/>
          <w:color w:val="auto"/>
        </w:rPr>
        <w:t>1</w:t>
      </w:r>
      <w:r>
        <w:rPr>
          <w:color w:val="auto"/>
        </w:rPr>
        <w:t>.完善</w:t>
      </w:r>
      <w:r>
        <w:rPr>
          <w:rFonts w:hint="eastAsia"/>
          <w:color w:val="auto"/>
        </w:rPr>
        <w:t>并建立</w:t>
      </w:r>
      <w:r>
        <w:rPr>
          <w:color w:val="auto"/>
        </w:rPr>
        <w:t>与</w:t>
      </w:r>
      <w:r>
        <w:rPr>
          <w:rFonts w:hint="eastAsia"/>
          <w:color w:val="auto"/>
        </w:rPr>
        <w:t>勐海县</w:t>
      </w:r>
      <w:r>
        <w:rPr>
          <w:color w:val="auto"/>
        </w:rPr>
        <w:t>相适应的地质灾害防治体系。形成系统的、主动的和有预见性的地质灾害防治新局面，按照《云南省地质灾害防治技术支撑体系建设实施方案》的通知（云自然资〔</w:t>
      </w:r>
      <w:r>
        <w:rPr>
          <w:rFonts w:ascii="Times New Roman" w:hAnsi="Times New Roman"/>
          <w:color w:val="auto"/>
        </w:rPr>
        <w:t>2020</w:t>
      </w:r>
      <w:r>
        <w:rPr>
          <w:color w:val="auto"/>
        </w:rPr>
        <w:t>〕</w:t>
      </w:r>
      <w:r>
        <w:rPr>
          <w:rFonts w:ascii="Times New Roman" w:hAnsi="Times New Roman"/>
          <w:color w:val="auto"/>
        </w:rPr>
        <w:t>145</w:t>
      </w:r>
      <w:r>
        <w:rPr>
          <w:color w:val="auto"/>
        </w:rPr>
        <w:t>号）文件精神，开展和完善地质灾害防治技术支撑体系建设，增强基层地质灾害防治技术支撑，提高地质灾害综合防治能力和工作效率提供技术保障。</w:t>
      </w:r>
    </w:p>
    <w:p>
      <w:pPr>
        <w:ind w:firstLine="640"/>
        <w:rPr>
          <w:color w:val="auto"/>
        </w:rPr>
      </w:pPr>
      <w:r>
        <w:rPr>
          <w:rFonts w:hint="eastAsia"/>
          <w:color w:val="auto"/>
        </w:rPr>
        <w:t>2</w:t>
      </w:r>
      <w:r>
        <w:rPr>
          <w:color w:val="auto"/>
        </w:rPr>
        <w:t>.加强管理机构建设，积极和上级部门沟通衔接，因岗设人，逐步解决地质灾害防治主管部门人力不足和专业支撑缺位问题。</w:t>
      </w:r>
    </w:p>
    <w:p>
      <w:pPr>
        <w:ind w:firstLine="640"/>
        <w:rPr>
          <w:color w:val="auto"/>
        </w:rPr>
      </w:pPr>
      <w:r>
        <w:rPr>
          <w:rFonts w:hint="eastAsia"/>
          <w:color w:val="auto"/>
        </w:rPr>
        <w:t>3.</w:t>
      </w:r>
      <w:r>
        <w:rPr>
          <w:color w:val="auto"/>
          <w:szCs w:val="28"/>
        </w:rPr>
        <w:t>提高地质灾害基础工作研究程度。力争自然资源大调查项目或专项地质灾害防治经费支持</w:t>
      </w:r>
      <w:r>
        <w:rPr>
          <w:color w:val="auto"/>
        </w:rPr>
        <w:t>。</w:t>
      </w:r>
    </w:p>
    <w:p>
      <w:pPr>
        <w:ind w:firstLine="640"/>
        <w:rPr>
          <w:color w:val="auto"/>
        </w:rPr>
      </w:pPr>
      <w:r>
        <w:rPr>
          <w:rFonts w:hint="eastAsia"/>
          <w:color w:val="auto"/>
        </w:rPr>
        <w:t>4</w:t>
      </w:r>
      <w:r>
        <w:rPr>
          <w:color w:val="auto"/>
        </w:rPr>
        <w:t>.全面开展</w:t>
      </w:r>
      <w:r>
        <w:rPr>
          <w:rFonts w:hint="eastAsia"/>
          <w:color w:val="auto"/>
          <w:lang w:val="en-US" w:eastAsia="zh-CN"/>
        </w:rPr>
        <w:t>勐海县</w:t>
      </w:r>
      <w:r>
        <w:rPr>
          <w:rFonts w:hint="eastAsia"/>
          <w:color w:val="auto"/>
        </w:rPr>
        <w:t>1：50000</w:t>
      </w:r>
      <w:r>
        <w:rPr>
          <w:color w:val="auto"/>
        </w:rPr>
        <w:t>地质灾害风险普查以及</w:t>
      </w:r>
      <w:r>
        <w:rPr>
          <w:rFonts w:hint="eastAsia"/>
          <w:color w:val="auto"/>
        </w:rPr>
        <w:t>1：10000地质灾害</w:t>
      </w:r>
      <w:r>
        <w:rPr>
          <w:color w:val="auto"/>
        </w:rPr>
        <w:t>精细化调查。为</w:t>
      </w:r>
      <w:r>
        <w:rPr>
          <w:rFonts w:hint="eastAsia"/>
          <w:color w:val="auto"/>
          <w:lang w:val="en-US" w:eastAsia="zh-CN"/>
        </w:rPr>
        <w:t>勐海县</w:t>
      </w:r>
      <w:r>
        <w:rPr>
          <w:color w:val="auto"/>
        </w:rPr>
        <w:t>有效开展地质灾害防治和应急管理工作、切实保障社会经济可持续发展提供技术权威的灾害风险信息和科学决策依据</w:t>
      </w:r>
      <w:r>
        <w:rPr>
          <w:rFonts w:hint="eastAsia"/>
          <w:color w:val="auto"/>
        </w:rPr>
        <w:t>，同时</w:t>
      </w:r>
      <w:r>
        <w:rPr>
          <w:color w:val="auto"/>
        </w:rPr>
        <w:t>加强高新技术的推广与应用，做到科学防灾减灾</w:t>
      </w:r>
      <w:r>
        <w:rPr>
          <w:rFonts w:hint="eastAsia"/>
          <w:color w:val="auto"/>
        </w:rPr>
        <w:t>，</w:t>
      </w:r>
      <w:r>
        <w:rPr>
          <w:color w:val="auto"/>
        </w:rPr>
        <w:t xml:space="preserve">探索 </w:t>
      </w:r>
      <w:r>
        <w:rPr>
          <w:rFonts w:hint="eastAsia"/>
          <w:color w:val="auto"/>
        </w:rPr>
        <w:t>“</w:t>
      </w:r>
      <w:r>
        <w:rPr>
          <w:color w:val="auto"/>
        </w:rPr>
        <w:t xml:space="preserve">隐患点＋风险区 </w:t>
      </w:r>
      <w:r>
        <w:rPr>
          <w:rFonts w:hint="eastAsia"/>
          <w:color w:val="auto"/>
        </w:rPr>
        <w:t>”</w:t>
      </w:r>
      <w:r>
        <w:rPr>
          <w:color w:val="auto"/>
        </w:rPr>
        <w:t>双控管理的制度与措施。</w:t>
      </w:r>
    </w:p>
    <w:p>
      <w:pPr>
        <w:pStyle w:val="13"/>
        <w:ind w:firstLine="640"/>
        <w:rPr>
          <w:color w:val="auto"/>
        </w:rPr>
      </w:pPr>
      <w:r>
        <w:rPr>
          <w:rFonts w:hint="eastAsia"/>
          <w:color w:val="auto"/>
        </w:rPr>
        <w:t>5</w:t>
      </w:r>
      <w:r>
        <w:rPr>
          <w:color w:val="auto"/>
        </w:rPr>
        <w:t>.</w:t>
      </w:r>
      <w:r>
        <w:rPr>
          <w:rFonts w:hint="eastAsia"/>
          <w:color w:val="auto"/>
        </w:rPr>
        <w:t>加强</w:t>
      </w:r>
      <w:r>
        <w:rPr>
          <w:color w:val="auto"/>
        </w:rPr>
        <w:t>地质环境保护和地质灾害防治</w:t>
      </w:r>
      <w:r>
        <w:rPr>
          <w:rFonts w:hint="eastAsia"/>
          <w:color w:val="auto"/>
        </w:rPr>
        <w:t>有关规定的执行力度。深入学习上级部门发布的有关文件及法律法规，按照有法必依，执法必严，违法必究的管理思路开展地质灾害管理。同时，对遇到的问题进行深入总结，为上级部门制定与修订相关法规提出地方建议</w:t>
      </w:r>
      <w:r>
        <w:rPr>
          <w:color w:val="auto"/>
        </w:rPr>
        <w:t>。</w:t>
      </w:r>
    </w:p>
    <w:p>
      <w:pPr>
        <w:ind w:firstLine="640"/>
        <w:rPr>
          <w:color w:val="auto"/>
        </w:rPr>
      </w:pPr>
      <w:r>
        <w:rPr>
          <w:rFonts w:hint="eastAsia"/>
          <w:color w:val="auto"/>
        </w:rPr>
        <w:t>6</w:t>
      </w:r>
      <w:r>
        <w:rPr>
          <w:color w:val="auto"/>
        </w:rPr>
        <w:t>.完善地质灾害保护和地质灾害防治管理信息系统，逐步形成地质灾害管理与国土空间规划衔接有据可依，实现地质环境保护和地质灾害防治管理的科学化、规范化和信息化。</w:t>
      </w:r>
    </w:p>
    <w:p>
      <w:pPr>
        <w:pStyle w:val="13"/>
        <w:ind w:firstLine="640"/>
        <w:rPr>
          <w:rFonts w:eastAsia="仿宋_GB2312"/>
          <w:color w:val="auto"/>
        </w:rPr>
      </w:pPr>
      <w:r>
        <w:rPr>
          <w:rFonts w:hint="eastAsia"/>
          <w:color w:val="auto"/>
        </w:rPr>
        <w:t>7</w:t>
      </w:r>
      <w:r>
        <w:rPr>
          <w:color w:val="auto"/>
        </w:rPr>
        <w:t>.加快</w:t>
      </w:r>
      <w:r>
        <w:rPr>
          <w:rFonts w:hint="eastAsia"/>
          <w:color w:val="auto"/>
        </w:rPr>
        <w:t>“十三五”</w:t>
      </w:r>
      <w:r>
        <w:rPr>
          <w:color w:val="auto"/>
        </w:rPr>
        <w:t>期间</w:t>
      </w:r>
      <w:r>
        <w:rPr>
          <w:rFonts w:hint="eastAsia" w:ascii="Times New Roman" w:hAnsi="Times New Roman"/>
          <w:color w:val="auto"/>
        </w:rPr>
        <w:t>5</w:t>
      </w:r>
      <w:r>
        <w:rPr>
          <w:rFonts w:hint="eastAsia"/>
          <w:color w:val="auto"/>
        </w:rPr>
        <w:t>个</w:t>
      </w:r>
      <w:r>
        <w:rPr>
          <w:color w:val="auto"/>
        </w:rPr>
        <w:t>未完成的地质灾害的治理工程验收</w:t>
      </w:r>
      <w:r>
        <w:rPr>
          <w:rFonts w:hint="eastAsia"/>
          <w:color w:val="auto"/>
        </w:rPr>
        <w:t>与</w:t>
      </w:r>
      <w:r>
        <w:rPr>
          <w:color w:val="auto"/>
        </w:rPr>
        <w:t>移交。</w:t>
      </w:r>
      <w:r>
        <w:rPr>
          <w:rFonts w:hint="eastAsia" w:ascii="宋体" w:hAnsi="宋体" w:cs="宋体"/>
          <w:color w:val="auto"/>
        </w:rPr>
        <w:t>根据实际情况，分轻重缓急逐步完成全</w:t>
      </w:r>
      <w:r>
        <w:rPr>
          <w:rFonts w:hint="eastAsia" w:ascii="宋体" w:hAnsi="宋体" w:cs="宋体"/>
          <w:color w:val="auto"/>
          <w:lang w:val="en-US" w:eastAsia="zh-CN"/>
        </w:rPr>
        <w:t>县</w:t>
      </w:r>
      <w:r>
        <w:rPr>
          <w:rFonts w:hint="eastAsia" w:ascii="宋体" w:hAnsi="宋体" w:cs="宋体"/>
          <w:color w:val="auto"/>
        </w:rPr>
        <w:t>威胁和危害较大地质灾害点治理与搬迁工作，使勐海县受现有地质灾害威胁的群众得到妥善处理</w:t>
      </w:r>
      <w:r>
        <w:rPr>
          <w:rFonts w:hint="eastAsia"/>
          <w:color w:val="auto"/>
        </w:rPr>
        <w:t>。</w:t>
      </w:r>
    </w:p>
    <w:p>
      <w:pPr>
        <w:ind w:firstLine="640"/>
        <w:rPr>
          <w:color w:val="auto"/>
        </w:rPr>
      </w:pPr>
      <w:r>
        <w:rPr>
          <w:rFonts w:hint="eastAsia"/>
          <w:color w:val="auto"/>
        </w:rPr>
        <w:t>8</w:t>
      </w:r>
      <w:r>
        <w:rPr>
          <w:color w:val="auto"/>
        </w:rPr>
        <w:t>.按照《云南省地质灾害监测预警体系建设实施方案》的通知（云自然资〔</w:t>
      </w:r>
      <w:r>
        <w:rPr>
          <w:rFonts w:ascii="Times New Roman" w:hAnsi="Times New Roman"/>
          <w:color w:val="auto"/>
        </w:rPr>
        <w:t>2020</w:t>
      </w:r>
      <w:r>
        <w:rPr>
          <w:color w:val="auto"/>
        </w:rPr>
        <w:t>〕</w:t>
      </w:r>
      <w:r>
        <w:rPr>
          <w:rFonts w:ascii="Times New Roman" w:hAnsi="Times New Roman"/>
          <w:color w:val="auto"/>
        </w:rPr>
        <w:t>441</w:t>
      </w:r>
      <w:r>
        <w:rPr>
          <w:color w:val="auto"/>
        </w:rPr>
        <w:t>号）文件精神，完善地质灾害监测预报体系，建立以专业监测为主导、群测群防与专业监测相结合的监测网络。</w:t>
      </w:r>
    </w:p>
    <w:p>
      <w:pPr>
        <w:ind w:firstLine="640"/>
        <w:rPr>
          <w:color w:val="auto"/>
        </w:rPr>
      </w:pPr>
      <w:r>
        <w:rPr>
          <w:rFonts w:hint="eastAsia"/>
          <w:color w:val="auto"/>
        </w:rPr>
        <w:t>9</w:t>
      </w:r>
      <w:r>
        <w:rPr>
          <w:color w:val="auto"/>
        </w:rPr>
        <w:t>.依托地质灾害防治技术支撑单位开展汛前、汛中、汛后</w:t>
      </w:r>
      <w:r>
        <w:rPr>
          <w:rFonts w:hint="eastAsia"/>
          <w:color w:val="auto"/>
        </w:rPr>
        <w:t>巡</w:t>
      </w:r>
      <w:r>
        <w:rPr>
          <w:color w:val="auto"/>
        </w:rPr>
        <w:t>排查以及地质灾害风险普查、</w:t>
      </w:r>
      <w:r>
        <w:rPr>
          <w:rFonts w:hint="eastAsia"/>
          <w:color w:val="auto"/>
          <w:lang w:val="en-US" w:eastAsia="zh-CN"/>
        </w:rPr>
        <w:t>精细化调查、</w:t>
      </w:r>
      <w:r>
        <w:rPr>
          <w:color w:val="auto"/>
        </w:rPr>
        <w:t>监测预警安装维护等机会，加强对辖区内群众开展地质灾害有关知识的宣传与培训，重点对象为乡镇干部、村组干部以及地质灾害隐患点群众</w:t>
      </w:r>
      <w:r>
        <w:rPr>
          <w:rFonts w:hint="eastAsia"/>
          <w:color w:val="auto"/>
        </w:rPr>
        <w:t>，</w:t>
      </w:r>
      <w:r>
        <w:rPr>
          <w:color w:val="auto"/>
        </w:rPr>
        <w:t>做到通俗易懂，易于实施。</w:t>
      </w:r>
    </w:p>
    <w:p>
      <w:pPr>
        <w:ind w:firstLine="640"/>
        <w:rPr>
          <w:color w:val="auto"/>
        </w:rPr>
      </w:pPr>
      <w:r>
        <w:rPr>
          <w:rFonts w:hint="eastAsia"/>
          <w:color w:val="auto"/>
        </w:rPr>
        <w:t>10.</w:t>
      </w:r>
      <w:r>
        <w:rPr>
          <w:color w:val="auto"/>
        </w:rPr>
        <w:t>加强地质灾害预测预防研究工作，通过对多年来防治工作经验总结研究，建立气象信息与地质灾害发生规模、地域、成灾规模等之间的关联性，提高气象预警精准程度。同时，进一步加强预警监测设备阈值的研究。对不同类型地质灾害的灾前预兆进行总结，为灾前避让赢得充裕时间</w:t>
      </w:r>
      <w:r>
        <w:rPr>
          <w:rFonts w:hint="eastAsia"/>
          <w:color w:val="auto"/>
        </w:rPr>
        <w:t>；</w:t>
      </w:r>
      <w:r>
        <w:rPr>
          <w:color w:val="auto"/>
        </w:rPr>
        <w:t>对应急抢险工作经验进行全面总结和普及，不断提高全民的自救互救能力。</w:t>
      </w:r>
    </w:p>
    <w:p>
      <w:pPr>
        <w:ind w:firstLine="640"/>
        <w:rPr>
          <w:color w:val="auto"/>
        </w:rPr>
      </w:pPr>
      <w:r>
        <w:rPr>
          <w:rFonts w:hint="eastAsia"/>
          <w:color w:val="auto"/>
        </w:rPr>
        <w:t>“十四五”</w:t>
      </w:r>
      <w:r>
        <w:rPr>
          <w:color w:val="auto"/>
        </w:rPr>
        <w:t>期间，力争</w:t>
      </w:r>
      <w:r>
        <w:rPr>
          <w:rFonts w:hint="eastAsia"/>
          <w:color w:val="auto"/>
        </w:rPr>
        <w:t>全县</w:t>
      </w:r>
      <w:r>
        <w:rPr>
          <w:color w:val="auto"/>
        </w:rPr>
        <w:t>地质灾害受威胁人口及资产显著下降，不发生群死群伤事故，受威胁人口在</w:t>
      </w:r>
      <w:r>
        <w:rPr>
          <w:rFonts w:ascii="Times New Roman" w:hAnsi="Times New Roman"/>
          <w:color w:val="auto"/>
        </w:rPr>
        <w:t>30</w:t>
      </w:r>
      <w:r>
        <w:rPr>
          <w:color w:val="auto"/>
        </w:rPr>
        <w:t>人以上的隐患点监测预警实现群专结合，受威胁加大的隐患点实施治理，</w:t>
      </w:r>
      <w:bookmarkStart w:id="43" w:name="_Hlk76486495"/>
      <w:r>
        <w:rPr>
          <w:rFonts w:hint="eastAsia"/>
          <w:color w:val="auto"/>
        </w:rPr>
        <w:t>使受威胁人口及资产在规划起始数据的基础上再减少</w:t>
      </w:r>
      <w:r>
        <w:rPr>
          <w:rFonts w:hint="eastAsia" w:ascii="Times New Roman" w:hAnsi="Times New Roman"/>
          <w:color w:val="auto"/>
        </w:rPr>
        <w:t>25</w:t>
      </w:r>
      <w:r>
        <w:rPr>
          <w:rFonts w:hint="eastAsia"/>
          <w:color w:val="auto"/>
        </w:rPr>
        <w:t>%</w:t>
      </w:r>
      <w:bookmarkEnd w:id="43"/>
      <w:r>
        <w:rPr>
          <w:rFonts w:hint="eastAsia"/>
          <w:color w:val="auto"/>
        </w:rPr>
        <w:t>，地质灾害造成的直接经济损失降低</w:t>
      </w:r>
      <w:r>
        <w:rPr>
          <w:rFonts w:hint="eastAsia" w:ascii="Times New Roman" w:hAnsi="Times New Roman"/>
          <w:color w:val="auto"/>
        </w:rPr>
        <w:t>30</w:t>
      </w:r>
      <w:r>
        <w:rPr>
          <w:rFonts w:hint="eastAsia"/>
          <w:color w:val="auto"/>
        </w:rPr>
        <w:t>%以上</w:t>
      </w:r>
      <w:bookmarkStart w:id="44" w:name="_Hlk76735984"/>
      <w:r>
        <w:rPr>
          <w:rFonts w:hint="eastAsia"/>
          <w:color w:val="auto"/>
        </w:rPr>
        <w:t>。</w:t>
      </w:r>
    </w:p>
    <w:p>
      <w:pPr>
        <w:ind w:firstLine="640"/>
        <w:rPr>
          <w:color w:val="auto"/>
        </w:rPr>
      </w:pPr>
      <w:r>
        <w:rPr>
          <w:color w:val="auto"/>
        </w:rPr>
        <w:t>展望到</w:t>
      </w:r>
      <w:r>
        <w:rPr>
          <w:rFonts w:ascii="Times New Roman" w:hAnsi="Times New Roman"/>
          <w:color w:val="auto"/>
        </w:rPr>
        <w:t>2035</w:t>
      </w:r>
      <w:r>
        <w:rPr>
          <w:color w:val="auto"/>
        </w:rPr>
        <w:t>年，使全民的地质灾害防治意识由制度约束的被动参与变成主动的日常行为，人为引发地质灾害发生显著下降。地质灾害防治由</w:t>
      </w:r>
      <w:r>
        <w:rPr>
          <w:rFonts w:hint="eastAsia"/>
          <w:color w:val="auto"/>
        </w:rPr>
        <w:t>“</w:t>
      </w:r>
      <w:r>
        <w:rPr>
          <w:color w:val="auto"/>
        </w:rPr>
        <w:t>保民生、保安全</w:t>
      </w:r>
      <w:r>
        <w:rPr>
          <w:rFonts w:hint="eastAsia"/>
          <w:color w:val="auto"/>
        </w:rPr>
        <w:t>”</w:t>
      </w:r>
      <w:r>
        <w:rPr>
          <w:color w:val="auto"/>
        </w:rPr>
        <w:t>的单点防治为主向</w:t>
      </w:r>
      <w:r>
        <w:rPr>
          <w:rFonts w:hint="eastAsia"/>
          <w:color w:val="auto"/>
        </w:rPr>
        <w:t>“</w:t>
      </w:r>
      <w:r>
        <w:rPr>
          <w:color w:val="auto"/>
        </w:rPr>
        <w:t>重环境、促发展</w:t>
      </w:r>
      <w:r>
        <w:rPr>
          <w:rFonts w:hint="eastAsia"/>
          <w:color w:val="auto"/>
        </w:rPr>
        <w:t>”</w:t>
      </w:r>
      <w:r>
        <w:rPr>
          <w:color w:val="auto"/>
        </w:rPr>
        <w:t>的滑坡泥石流综合整治方向转变，基本扭转</w:t>
      </w:r>
      <w:r>
        <w:rPr>
          <w:rFonts w:hint="eastAsia"/>
          <w:color w:val="auto"/>
        </w:rPr>
        <w:t>勐海县</w:t>
      </w:r>
      <w:r>
        <w:rPr>
          <w:color w:val="auto"/>
        </w:rPr>
        <w:t>地质灾害防治工作的被动局面，实现政府部门及群众对地质灾害防治的压力显著下降。</w:t>
      </w:r>
      <w:bookmarkEnd w:id="44"/>
    </w:p>
    <w:p>
      <w:pPr>
        <w:pStyle w:val="3"/>
        <w:numPr>
          <w:ilvl w:val="0"/>
          <w:numId w:val="0"/>
        </w:numPr>
        <w:ind w:left="640" w:leftChars="200"/>
        <w:rPr>
          <w:color w:val="auto"/>
        </w:rPr>
      </w:pPr>
      <w:bookmarkStart w:id="45" w:name="_Toc4670"/>
      <w:r>
        <w:rPr>
          <w:rFonts w:hint="eastAsia"/>
          <w:color w:val="auto"/>
        </w:rPr>
        <w:t>四、地质灾害易发区和重点防治区</w:t>
      </w:r>
      <w:bookmarkEnd w:id="45"/>
    </w:p>
    <w:p>
      <w:pPr>
        <w:pStyle w:val="4"/>
        <w:ind w:firstLine="640"/>
        <w:rPr>
          <w:color w:val="auto"/>
        </w:rPr>
      </w:pPr>
      <w:bookmarkStart w:id="46" w:name="_Toc28534"/>
      <w:r>
        <w:rPr>
          <w:rFonts w:hint="eastAsia"/>
          <w:color w:val="auto"/>
        </w:rPr>
        <w:t>（一）地质灾害易发区</w:t>
      </w:r>
      <w:bookmarkEnd w:id="46"/>
    </w:p>
    <w:p>
      <w:pPr>
        <w:ind w:firstLine="640"/>
        <w:rPr>
          <w:rFonts w:eastAsia="仿宋_GB2312"/>
          <w:color w:val="auto"/>
          <w:highlight w:val="yellow"/>
        </w:rPr>
      </w:pPr>
      <w:r>
        <w:rPr>
          <w:rFonts w:hint="eastAsia"/>
          <w:color w:val="auto"/>
        </w:rPr>
        <w:t>地质灾害易发区划分在《云南省西双版纳傣族自治州勐海县地质灾害详细调查报告》易发区划的基础上，根据勐海县地质环境条件以及现状地质灾害分布特征，并结合城市发展规划修编而成，分为</w:t>
      </w:r>
      <w:r>
        <w:rPr>
          <w:rFonts w:hint="eastAsia"/>
          <w:color w:val="auto"/>
          <w:lang w:val="en-US" w:eastAsia="zh-CN"/>
        </w:rPr>
        <w:t>极</w:t>
      </w:r>
      <w:r>
        <w:rPr>
          <w:rFonts w:hint="eastAsia"/>
          <w:color w:val="auto"/>
        </w:rPr>
        <w:t>高易发、</w:t>
      </w:r>
      <w:r>
        <w:rPr>
          <w:rFonts w:hint="eastAsia"/>
          <w:color w:val="auto"/>
          <w:lang w:val="en-US" w:eastAsia="zh-CN"/>
        </w:rPr>
        <w:t>高</w:t>
      </w:r>
      <w:r>
        <w:rPr>
          <w:rFonts w:hint="eastAsia"/>
          <w:color w:val="auto"/>
        </w:rPr>
        <w:t>易发、</w:t>
      </w:r>
      <w:r>
        <w:rPr>
          <w:rFonts w:hint="eastAsia"/>
          <w:color w:val="auto"/>
          <w:lang w:val="en-US" w:eastAsia="zh-CN"/>
        </w:rPr>
        <w:t>中</w:t>
      </w:r>
      <w:r>
        <w:rPr>
          <w:rFonts w:hint="eastAsia"/>
          <w:color w:val="auto"/>
        </w:rPr>
        <w:t>易发和</w:t>
      </w:r>
      <w:r>
        <w:rPr>
          <w:rFonts w:hint="eastAsia"/>
          <w:color w:val="auto"/>
          <w:lang w:val="en-US" w:eastAsia="zh-CN"/>
        </w:rPr>
        <w:t>低易</w:t>
      </w:r>
      <w:r>
        <w:rPr>
          <w:rFonts w:hint="eastAsia"/>
          <w:color w:val="auto"/>
        </w:rPr>
        <w:t>发区共</w:t>
      </w:r>
      <w:r>
        <w:rPr>
          <w:rFonts w:hint="eastAsia" w:ascii="Times New Roman" w:hAnsi="Times New Roman"/>
          <w:color w:val="auto"/>
        </w:rPr>
        <w:t>4</w:t>
      </w:r>
      <w:r>
        <w:rPr>
          <w:rFonts w:hint="eastAsia"/>
          <w:color w:val="auto"/>
        </w:rPr>
        <w:t>个大区</w:t>
      </w:r>
      <w:r>
        <w:rPr>
          <w:rFonts w:hint="eastAsia" w:ascii="Times New Roman" w:hAnsi="Times New Roman"/>
          <w:color w:val="auto"/>
        </w:rPr>
        <w:t>10</w:t>
      </w:r>
      <w:r>
        <w:rPr>
          <w:rFonts w:hint="eastAsia"/>
          <w:color w:val="auto"/>
        </w:rPr>
        <w:t>个亚区。</w:t>
      </w:r>
      <w:r>
        <w:rPr>
          <w:rFonts w:hint="eastAsia"/>
          <w:color w:val="auto"/>
          <w:lang w:val="en-US" w:eastAsia="zh-CN"/>
        </w:rPr>
        <w:t>极</w:t>
      </w:r>
      <w:r>
        <w:rPr>
          <w:rFonts w:hint="eastAsia"/>
          <w:color w:val="auto"/>
        </w:rPr>
        <w:t>高易发区，共计面积</w:t>
      </w:r>
      <w:r>
        <w:rPr>
          <w:rFonts w:hint="eastAsia" w:ascii="Times New Roman" w:hAnsi="Times New Roman"/>
          <w:color w:val="auto"/>
        </w:rPr>
        <w:t>829.79</w:t>
      </w:r>
      <w:r>
        <w:rPr>
          <w:rFonts w:hint="eastAsia"/>
          <w:color w:val="auto"/>
        </w:rPr>
        <w:t>km</w:t>
      </w:r>
      <w:r>
        <w:rPr>
          <w:rFonts w:hint="eastAsia" w:ascii="Times New Roman" w:hAnsi="Times New Roman"/>
          <w:color w:val="auto"/>
          <w:vertAlign w:val="superscript"/>
        </w:rPr>
        <w:t>2</w:t>
      </w:r>
      <w:r>
        <w:rPr>
          <w:rFonts w:hint="eastAsia"/>
          <w:color w:val="auto"/>
        </w:rPr>
        <w:t>，占总面积的</w:t>
      </w:r>
      <w:r>
        <w:rPr>
          <w:rFonts w:hint="eastAsia" w:ascii="Times New Roman" w:hAnsi="Times New Roman"/>
          <w:color w:val="auto"/>
        </w:rPr>
        <w:t>15.46</w:t>
      </w:r>
      <w:r>
        <w:rPr>
          <w:rFonts w:hint="eastAsia"/>
          <w:color w:val="auto"/>
        </w:rPr>
        <w:t>%；</w:t>
      </w:r>
      <w:r>
        <w:rPr>
          <w:rFonts w:hint="eastAsia"/>
          <w:color w:val="auto"/>
          <w:lang w:val="en-US" w:eastAsia="zh-CN"/>
        </w:rPr>
        <w:t>高</w:t>
      </w:r>
      <w:r>
        <w:rPr>
          <w:rFonts w:hint="eastAsia"/>
          <w:color w:val="auto"/>
        </w:rPr>
        <w:t>易发区，共计面积</w:t>
      </w:r>
      <w:r>
        <w:rPr>
          <w:rFonts w:hint="eastAsia" w:ascii="Times New Roman" w:hAnsi="Times New Roman"/>
          <w:color w:val="auto"/>
        </w:rPr>
        <w:t>2873.1</w:t>
      </w:r>
      <w:r>
        <w:rPr>
          <w:rFonts w:hint="eastAsia"/>
          <w:color w:val="auto"/>
        </w:rPr>
        <w:t>km</w:t>
      </w:r>
      <w:r>
        <w:rPr>
          <w:rFonts w:hint="eastAsia" w:ascii="Times New Roman" w:hAnsi="Times New Roman"/>
          <w:color w:val="auto"/>
          <w:vertAlign w:val="superscript"/>
        </w:rPr>
        <w:t>2</w:t>
      </w:r>
      <w:r>
        <w:rPr>
          <w:rFonts w:hint="eastAsia"/>
          <w:color w:val="auto"/>
        </w:rPr>
        <w:t>，占总面积的</w:t>
      </w:r>
      <w:r>
        <w:rPr>
          <w:rFonts w:hint="eastAsia" w:ascii="Times New Roman" w:hAnsi="Times New Roman"/>
          <w:color w:val="auto"/>
        </w:rPr>
        <w:t>53.52</w:t>
      </w:r>
      <w:r>
        <w:rPr>
          <w:rFonts w:hint="eastAsia"/>
          <w:color w:val="auto"/>
        </w:rPr>
        <w:t>%；</w:t>
      </w:r>
      <w:r>
        <w:rPr>
          <w:rFonts w:hint="eastAsia"/>
          <w:color w:val="auto"/>
          <w:lang w:val="en-US" w:eastAsia="zh-CN"/>
        </w:rPr>
        <w:t>中</w:t>
      </w:r>
      <w:r>
        <w:rPr>
          <w:rFonts w:hint="eastAsia"/>
          <w:color w:val="auto"/>
        </w:rPr>
        <w:t>易发区，面积</w:t>
      </w:r>
      <w:r>
        <w:rPr>
          <w:rFonts w:hint="eastAsia" w:ascii="Times New Roman" w:hAnsi="Times New Roman"/>
          <w:color w:val="auto"/>
        </w:rPr>
        <w:t>1464.7</w:t>
      </w:r>
      <w:r>
        <w:rPr>
          <w:rFonts w:hint="eastAsia"/>
          <w:color w:val="auto"/>
        </w:rPr>
        <w:t>km</w:t>
      </w:r>
      <w:r>
        <w:rPr>
          <w:rFonts w:hint="eastAsia" w:ascii="Times New Roman" w:hAnsi="Times New Roman"/>
          <w:color w:val="auto"/>
          <w:vertAlign w:val="superscript"/>
        </w:rPr>
        <w:t>2</w:t>
      </w:r>
      <w:r>
        <w:rPr>
          <w:rFonts w:hint="eastAsia"/>
          <w:color w:val="auto"/>
        </w:rPr>
        <w:t>，占总面积的</w:t>
      </w:r>
      <w:r>
        <w:rPr>
          <w:rFonts w:hint="eastAsia" w:ascii="Times New Roman" w:hAnsi="Times New Roman"/>
          <w:color w:val="auto"/>
        </w:rPr>
        <w:t>27.29</w:t>
      </w:r>
      <w:r>
        <w:rPr>
          <w:rFonts w:hint="eastAsia"/>
          <w:color w:val="auto"/>
        </w:rPr>
        <w:t>%；</w:t>
      </w:r>
      <w:r>
        <w:rPr>
          <w:rFonts w:hint="eastAsia"/>
          <w:color w:val="auto"/>
          <w:lang w:val="en-US" w:eastAsia="zh-CN"/>
        </w:rPr>
        <w:t>低</w:t>
      </w:r>
      <w:r>
        <w:rPr>
          <w:rFonts w:hint="eastAsia"/>
          <w:color w:val="auto"/>
        </w:rPr>
        <w:t>易发区，共计面积</w:t>
      </w:r>
      <w:r>
        <w:rPr>
          <w:rFonts w:hint="eastAsia" w:ascii="Times New Roman" w:hAnsi="Times New Roman"/>
          <w:color w:val="auto"/>
        </w:rPr>
        <w:t>200.5</w:t>
      </w:r>
      <w:r>
        <w:rPr>
          <w:rFonts w:hint="eastAsia"/>
          <w:color w:val="auto"/>
        </w:rPr>
        <w:t>km</w:t>
      </w:r>
      <w:r>
        <w:rPr>
          <w:rFonts w:hint="eastAsia" w:ascii="Times New Roman" w:hAnsi="Times New Roman"/>
          <w:color w:val="auto"/>
          <w:vertAlign w:val="superscript"/>
        </w:rPr>
        <w:t>2</w:t>
      </w:r>
      <w:r>
        <w:rPr>
          <w:rFonts w:hint="eastAsia"/>
          <w:color w:val="auto"/>
        </w:rPr>
        <w:t>，占总面积的</w:t>
      </w:r>
      <w:r>
        <w:rPr>
          <w:rFonts w:hint="eastAsia" w:ascii="Times New Roman" w:hAnsi="Times New Roman"/>
          <w:color w:val="auto"/>
        </w:rPr>
        <w:t>3.74</w:t>
      </w:r>
      <w:r>
        <w:rPr>
          <w:rFonts w:hint="eastAsia"/>
          <w:color w:val="auto"/>
        </w:rPr>
        <w:t>%（详见附图</w:t>
      </w:r>
      <w:r>
        <w:rPr>
          <w:rFonts w:hint="eastAsia" w:ascii="Times New Roman" w:hAnsi="Times New Roman"/>
          <w:color w:val="auto"/>
        </w:rPr>
        <w:t>1</w:t>
      </w:r>
      <w:r>
        <w:rPr>
          <w:rFonts w:hint="eastAsia"/>
          <w:color w:val="auto"/>
        </w:rPr>
        <w:t>）。</w:t>
      </w:r>
    </w:p>
    <w:p>
      <w:pPr>
        <w:pStyle w:val="4"/>
        <w:ind w:firstLine="640"/>
        <w:rPr>
          <w:color w:val="auto"/>
        </w:rPr>
      </w:pPr>
      <w:bookmarkStart w:id="47" w:name="_Toc29025"/>
      <w:r>
        <w:rPr>
          <w:rFonts w:hint="eastAsia"/>
          <w:color w:val="auto"/>
        </w:rPr>
        <w:t>（二）地质灾害</w:t>
      </w:r>
      <w:r>
        <w:rPr>
          <w:rFonts w:hint="eastAsia"/>
          <w:color w:val="auto"/>
          <w:lang w:val="en-US" w:eastAsia="zh-CN"/>
        </w:rPr>
        <w:t>重点</w:t>
      </w:r>
      <w:r>
        <w:rPr>
          <w:rFonts w:hint="eastAsia"/>
          <w:color w:val="auto"/>
        </w:rPr>
        <w:t>防治</w:t>
      </w:r>
      <w:r>
        <w:rPr>
          <w:rFonts w:hint="eastAsia"/>
          <w:color w:val="auto"/>
          <w:lang w:val="en-US" w:eastAsia="zh-CN"/>
        </w:rPr>
        <w:t>分</w:t>
      </w:r>
      <w:r>
        <w:rPr>
          <w:rFonts w:hint="eastAsia"/>
          <w:color w:val="auto"/>
        </w:rPr>
        <w:t>区</w:t>
      </w:r>
      <w:bookmarkEnd w:id="47"/>
    </w:p>
    <w:p>
      <w:pPr>
        <w:ind w:firstLine="640"/>
        <w:rPr>
          <w:rFonts w:hint="eastAsia" w:ascii="Times New Roman" w:hAnsi="Times New Roman"/>
          <w:color w:val="auto"/>
          <w:lang w:eastAsia="zh-CN"/>
        </w:rPr>
      </w:pPr>
      <w:r>
        <w:rPr>
          <w:rFonts w:hint="eastAsia"/>
          <w:color w:val="auto"/>
        </w:rPr>
        <w:t>在地质灾害易发性分区的基础上，根据地质灾害易发程度、地质灾害危害对象、威胁人口状况、威胁财产状况及人类工程活动状况，结合勐海县经济社会发展状况、地质灾害防治现状等，将勐海县地质灾害防治工作分划分地质灾害重点防治区</w:t>
      </w:r>
      <w:r>
        <w:rPr>
          <w:rFonts w:hint="eastAsia"/>
          <w:color w:val="auto"/>
          <w:lang w:val="en-US" w:eastAsia="zh-CN"/>
        </w:rPr>
        <w:t>5</w:t>
      </w:r>
      <w:r>
        <w:rPr>
          <w:rFonts w:hint="eastAsia"/>
          <w:color w:val="auto"/>
        </w:rPr>
        <w:t>个亚区,</w:t>
      </w:r>
      <w:r>
        <w:rPr>
          <w:rFonts w:hint="eastAsia"/>
          <w:color w:val="auto"/>
          <w:lang w:val="en-US" w:eastAsia="zh-CN"/>
        </w:rPr>
        <w:t>次</w:t>
      </w:r>
      <w:r>
        <w:rPr>
          <w:rFonts w:hint="eastAsia"/>
          <w:color w:val="auto"/>
        </w:rPr>
        <w:t>重点防治区</w:t>
      </w:r>
      <w:r>
        <w:rPr>
          <w:rFonts w:hint="eastAsia"/>
          <w:color w:val="auto"/>
          <w:lang w:val="en-US" w:eastAsia="zh-CN"/>
        </w:rPr>
        <w:t>3</w:t>
      </w:r>
      <w:r>
        <w:rPr>
          <w:rFonts w:hint="eastAsia"/>
          <w:color w:val="auto"/>
        </w:rPr>
        <w:t>个亚区</w:t>
      </w:r>
      <w:r>
        <w:rPr>
          <w:rFonts w:hint="eastAsia"/>
          <w:color w:val="auto"/>
          <w:lang w:eastAsia="zh-CN"/>
        </w:rPr>
        <w:t>，</w:t>
      </w:r>
      <w:r>
        <w:rPr>
          <w:rFonts w:hint="eastAsia"/>
          <w:color w:val="auto"/>
        </w:rPr>
        <w:t>一般防治区</w:t>
      </w:r>
      <w:r>
        <w:rPr>
          <w:rFonts w:hint="eastAsia"/>
          <w:color w:val="auto"/>
          <w:lang w:val="en-US" w:eastAsia="zh-CN"/>
        </w:rPr>
        <w:t>5</w:t>
      </w:r>
      <w:r>
        <w:rPr>
          <w:rFonts w:hint="eastAsia"/>
          <w:color w:val="auto"/>
        </w:rPr>
        <w:t>个亚区。</w:t>
      </w:r>
      <w:r>
        <w:rPr>
          <w:rFonts w:hint="eastAsia"/>
          <w:color w:val="auto"/>
          <w:lang w:val="en-US" w:eastAsia="zh-CN"/>
        </w:rPr>
        <w:t>三</w:t>
      </w:r>
      <w:r>
        <w:rPr>
          <w:rFonts w:hint="eastAsia"/>
          <w:color w:val="auto"/>
        </w:rPr>
        <w:t>个等级</w:t>
      </w:r>
      <w:r>
        <w:rPr>
          <w:rFonts w:hint="eastAsia"/>
          <w:color w:val="auto"/>
          <w:lang w:val="en-US" w:eastAsia="zh-CN"/>
        </w:rPr>
        <w:t>十三</w:t>
      </w:r>
      <w:r>
        <w:rPr>
          <w:rFonts w:hint="eastAsia"/>
          <w:color w:val="auto"/>
        </w:rPr>
        <w:t>个区。其中重点防治区面积795.27km</w:t>
      </w:r>
      <w:r>
        <w:rPr>
          <w:rFonts w:hint="eastAsia"/>
          <w:color w:val="auto"/>
          <w:vertAlign w:val="superscript"/>
        </w:rPr>
        <w:t>2</w:t>
      </w:r>
      <w:r>
        <w:rPr>
          <w:rFonts w:hint="eastAsia"/>
          <w:color w:val="auto"/>
        </w:rPr>
        <w:t>，占总面积的14.8</w:t>
      </w:r>
      <w:r>
        <w:rPr>
          <w:rFonts w:hint="eastAsia"/>
          <w:color w:val="auto"/>
          <w:lang w:val="en-US" w:eastAsia="zh-CN"/>
        </w:rPr>
        <w:t>0</w:t>
      </w:r>
      <w:r>
        <w:rPr>
          <w:rFonts w:hint="eastAsia"/>
          <w:color w:val="auto"/>
        </w:rPr>
        <w:t xml:space="preserve"> %；</w:t>
      </w:r>
      <w:r>
        <w:rPr>
          <w:rFonts w:hint="eastAsia"/>
          <w:color w:val="auto"/>
          <w:lang w:val="en-US" w:eastAsia="zh-CN"/>
        </w:rPr>
        <w:t>次</w:t>
      </w:r>
      <w:r>
        <w:rPr>
          <w:rFonts w:hint="eastAsia"/>
          <w:color w:val="auto"/>
        </w:rPr>
        <w:t>重点防治区面积2681.23km</w:t>
      </w:r>
      <w:r>
        <w:rPr>
          <w:rFonts w:hint="eastAsia"/>
          <w:color w:val="auto"/>
          <w:vertAlign w:val="superscript"/>
        </w:rPr>
        <w:t>2</w:t>
      </w:r>
      <w:r>
        <w:rPr>
          <w:rFonts w:hint="eastAsia"/>
          <w:color w:val="auto"/>
        </w:rPr>
        <w:t>，占总面积的49.92 %；一般防治区面积1894.77km</w:t>
      </w:r>
      <w:r>
        <w:rPr>
          <w:rFonts w:hint="eastAsia"/>
          <w:color w:val="auto"/>
          <w:vertAlign w:val="superscript"/>
        </w:rPr>
        <w:t>2</w:t>
      </w:r>
      <w:r>
        <w:rPr>
          <w:rFonts w:hint="eastAsia"/>
          <w:color w:val="auto"/>
        </w:rPr>
        <w:t>，占总面积的35.28 %。防治分区及评价情况见附图</w:t>
      </w:r>
      <w:r>
        <w:rPr>
          <w:rFonts w:hint="eastAsia" w:ascii="Times New Roman" w:hAnsi="Times New Roman"/>
          <w:color w:val="auto"/>
        </w:rPr>
        <w:t>1</w:t>
      </w:r>
      <w:r>
        <w:rPr>
          <w:rFonts w:hint="eastAsia" w:ascii="Times New Roman" w:hAnsi="Times New Roman"/>
          <w:color w:val="auto"/>
          <w:lang w:eastAsia="zh-CN"/>
        </w:rPr>
        <w:t>。</w:t>
      </w:r>
    </w:p>
    <w:p>
      <w:pPr>
        <w:pStyle w:val="5"/>
        <w:bidi w:val="0"/>
        <w:rPr>
          <w:rFonts w:hint="default"/>
          <w:color w:val="auto"/>
          <w:lang w:val="en-US" w:eastAsia="zh-CN"/>
        </w:rPr>
      </w:pPr>
      <w:r>
        <w:rPr>
          <w:rFonts w:hint="eastAsia"/>
          <w:color w:val="auto"/>
          <w:lang w:val="en-US" w:eastAsia="zh-CN"/>
        </w:rPr>
        <w:t>1.南弄中寨-曼来老寨滑坡重点防治区</w:t>
      </w:r>
    </w:p>
    <w:p>
      <w:pPr>
        <w:ind w:firstLine="640"/>
        <w:rPr>
          <w:rFonts w:hint="default"/>
          <w:color w:val="auto"/>
          <w:lang w:val="en-US" w:eastAsia="zh-CN"/>
        </w:rPr>
      </w:pPr>
      <w:r>
        <w:rPr>
          <w:rFonts w:hint="eastAsia"/>
          <w:color w:val="auto"/>
        </w:rPr>
        <w:t>该区域主要位于西定乡北东南弄-暖和-西定-曼来一带，面积</w:t>
      </w:r>
      <w:r>
        <w:rPr>
          <w:rFonts w:hint="eastAsia" w:ascii="Times New Roman" w:hAnsi="Times New Roman"/>
          <w:color w:val="auto"/>
          <w:szCs w:val="22"/>
        </w:rPr>
        <w:t>141.99</w:t>
      </w:r>
      <w:r>
        <w:rPr>
          <w:rFonts w:hint="eastAsia"/>
          <w:color w:val="auto"/>
        </w:rPr>
        <w:t>平方千米，占全县重点防治区总面积</w:t>
      </w:r>
      <w:r>
        <w:rPr>
          <w:rFonts w:hint="eastAsia" w:ascii="Times New Roman" w:hAnsi="Times New Roman"/>
          <w:color w:val="auto"/>
          <w:szCs w:val="22"/>
        </w:rPr>
        <w:t>2.64 %</w:t>
      </w:r>
      <w:r>
        <w:rPr>
          <w:rFonts w:hint="eastAsia"/>
          <w:color w:val="auto"/>
        </w:rPr>
        <w:t>，据统计，区内地貌类型为中浅切割脊状中山地形、微切割梁岗状低山、低中山地形，地形坡度一般</w:t>
      </w:r>
      <w:r>
        <w:rPr>
          <w:rFonts w:hint="eastAsia" w:ascii="Times New Roman" w:hAnsi="Times New Roman"/>
          <w:color w:val="auto"/>
        </w:rPr>
        <w:t>20</w:t>
      </w:r>
      <w:r>
        <w:rPr>
          <w:rFonts w:hint="eastAsia"/>
          <w:color w:val="auto"/>
        </w:rPr>
        <w:t>-</w:t>
      </w:r>
      <w:r>
        <w:rPr>
          <w:rFonts w:hint="eastAsia" w:ascii="Times New Roman" w:hAnsi="Times New Roman"/>
          <w:color w:val="auto"/>
        </w:rPr>
        <w:t>36</w:t>
      </w:r>
      <w:r>
        <w:rPr>
          <w:rFonts w:hint="eastAsia"/>
          <w:color w:val="auto"/>
        </w:rPr>
        <w:t>°，区内出露的主要地层岩性为上元古界澜沧群惠民组、曼来组绢云片岩、微晶片岩，中生界白垩系景星组、侏罗系花开佐组砂泥岩；主要工程地质岩组为薄层状较软片岩岩组、层状半坚硬砂岩、泥岩夹泥灰岩岩组；岩体风化较强，全风化带厚度一般</w:t>
      </w:r>
      <w:r>
        <w:rPr>
          <w:rFonts w:hint="eastAsia" w:ascii="Times New Roman" w:hAnsi="Times New Roman"/>
          <w:color w:val="auto"/>
        </w:rPr>
        <w:t>3</w:t>
      </w:r>
      <w:r>
        <w:rPr>
          <w:rFonts w:hint="eastAsia"/>
          <w:color w:val="auto"/>
        </w:rPr>
        <w:t>-</w:t>
      </w:r>
      <w:r>
        <w:rPr>
          <w:rFonts w:hint="eastAsia" w:ascii="Times New Roman" w:hAnsi="Times New Roman"/>
          <w:color w:val="auto"/>
        </w:rPr>
        <w:t>10</w:t>
      </w:r>
      <w:r>
        <w:rPr>
          <w:rFonts w:hint="eastAsia"/>
          <w:color w:val="auto"/>
        </w:rPr>
        <w:t>m；区内人类活动强烈，主要为城镇建设、公路建设、农村建房及陡坡垦植等。中小型滑坡是该区防治重点。</w:t>
      </w:r>
    </w:p>
    <w:p>
      <w:pPr>
        <w:pStyle w:val="5"/>
        <w:bidi w:val="0"/>
        <w:rPr>
          <w:rFonts w:hint="default"/>
          <w:color w:val="auto"/>
          <w:lang w:val="en-US" w:eastAsia="zh-CN"/>
        </w:rPr>
      </w:pPr>
      <w:r>
        <w:rPr>
          <w:rFonts w:hint="eastAsia"/>
          <w:color w:val="auto"/>
          <w:lang w:val="en-US" w:eastAsia="zh-CN"/>
        </w:rPr>
        <w:t>2.</w:t>
      </w:r>
      <w:r>
        <w:rPr>
          <w:rFonts w:hint="default"/>
          <w:color w:val="auto"/>
          <w:lang w:val="en-US" w:eastAsia="zh-CN"/>
        </w:rPr>
        <w:t>蚌龙新寨-蚌囡老寨滑坡崩塌重点防治区</w:t>
      </w:r>
    </w:p>
    <w:p>
      <w:pPr>
        <w:ind w:firstLine="640"/>
        <w:rPr>
          <w:rFonts w:hint="default"/>
          <w:color w:val="auto"/>
          <w:lang w:val="en-US" w:eastAsia="zh-CN"/>
        </w:rPr>
      </w:pPr>
      <w:r>
        <w:rPr>
          <w:rFonts w:hint="eastAsia"/>
          <w:color w:val="auto"/>
        </w:rPr>
        <w:t>该区域主要位于勐宋以北蚌囡-曼吕-勐阿贺建-勐往南果河一带，面积约</w:t>
      </w:r>
      <w:r>
        <w:rPr>
          <w:rFonts w:hint="eastAsia" w:ascii="Times New Roman" w:hAnsi="Times New Roman"/>
          <w:color w:val="auto"/>
          <w:szCs w:val="22"/>
        </w:rPr>
        <w:t>144.36</w:t>
      </w:r>
      <w:r>
        <w:rPr>
          <w:rFonts w:hint="eastAsia"/>
          <w:color w:val="auto"/>
        </w:rPr>
        <w:t>平方千米，占全县重点防治区总面积的</w:t>
      </w:r>
      <w:r>
        <w:rPr>
          <w:rFonts w:hint="eastAsia" w:ascii="Times New Roman" w:hAnsi="Times New Roman"/>
          <w:color w:val="auto"/>
          <w:szCs w:val="22"/>
        </w:rPr>
        <w:t>2.69%</w:t>
      </w:r>
      <w:r>
        <w:rPr>
          <w:rFonts w:hint="eastAsia"/>
          <w:color w:val="auto"/>
        </w:rPr>
        <w:t>。据统计，区内地貌主要未中-浅切割孤岭状中山地形和中-浅切割脊状中山地形，地形坡度一般</w:t>
      </w:r>
      <w:r>
        <w:rPr>
          <w:rFonts w:hint="eastAsia" w:ascii="Times New Roman" w:hAnsi="Times New Roman"/>
          <w:color w:val="auto"/>
        </w:rPr>
        <w:t>15</w:t>
      </w:r>
      <w:r>
        <w:rPr>
          <w:rFonts w:hint="eastAsia"/>
          <w:color w:val="auto"/>
        </w:rPr>
        <w:t>-</w:t>
      </w:r>
      <w:r>
        <w:rPr>
          <w:rFonts w:hint="eastAsia" w:ascii="Times New Roman" w:hAnsi="Times New Roman"/>
          <w:color w:val="auto"/>
        </w:rPr>
        <w:t>35</w:t>
      </w:r>
      <w:r>
        <w:rPr>
          <w:rFonts w:hint="eastAsia"/>
          <w:color w:val="auto"/>
        </w:rPr>
        <w:t>°；区内出露的地层岩性为华力西晚期花岗岩；主要工程地质岩组为块状花岗岩岩组等；岩体风化较强烈，全风化层厚度一般为</w:t>
      </w:r>
      <w:r>
        <w:rPr>
          <w:rFonts w:hint="eastAsia" w:ascii="Times New Roman" w:hAnsi="Times New Roman"/>
          <w:color w:val="auto"/>
        </w:rPr>
        <w:t>3</w:t>
      </w:r>
      <w:r>
        <w:rPr>
          <w:rFonts w:hint="eastAsia"/>
          <w:color w:val="auto"/>
        </w:rPr>
        <w:t>—</w:t>
      </w:r>
      <w:r>
        <w:rPr>
          <w:rFonts w:hint="eastAsia" w:ascii="Times New Roman" w:hAnsi="Times New Roman"/>
          <w:color w:val="auto"/>
        </w:rPr>
        <w:t>15</w:t>
      </w:r>
      <w:r>
        <w:rPr>
          <w:rFonts w:hint="eastAsia"/>
          <w:color w:val="auto"/>
        </w:rPr>
        <w:t>m，局部达</w:t>
      </w:r>
      <w:r>
        <w:rPr>
          <w:rFonts w:hint="eastAsia" w:ascii="Times New Roman" w:hAnsi="Times New Roman"/>
          <w:color w:val="auto"/>
        </w:rPr>
        <w:t>25</w:t>
      </w:r>
      <w:r>
        <w:rPr>
          <w:rFonts w:hint="eastAsia"/>
          <w:color w:val="auto"/>
        </w:rPr>
        <w:t>m，花岗岩风化层结构松散，粘结性差，水土流失现象明显，风化过程中伴有球状风化，地表植被较发育；区内人类活动较强烈，土地利用现状多为村庄建设、公路建设及茶叶种植。中小型滑坡、中小型崩塌是该区防治重点。</w:t>
      </w:r>
    </w:p>
    <w:p>
      <w:pPr>
        <w:pStyle w:val="5"/>
        <w:bidi w:val="0"/>
        <w:rPr>
          <w:rFonts w:hint="default"/>
          <w:color w:val="auto"/>
          <w:lang w:val="en-US" w:eastAsia="zh-CN"/>
        </w:rPr>
      </w:pPr>
      <w:r>
        <w:rPr>
          <w:rFonts w:hint="eastAsia"/>
          <w:color w:val="auto"/>
          <w:lang w:val="en-US" w:eastAsia="zh-CN"/>
        </w:rPr>
        <w:t>3.</w:t>
      </w:r>
      <w:r>
        <w:rPr>
          <w:rFonts w:hint="default"/>
          <w:color w:val="auto"/>
          <w:lang w:val="en-US" w:eastAsia="zh-CN"/>
        </w:rPr>
        <w:t>帕沙-苏湖-南糯山滑坡泥石流重点防治区</w:t>
      </w:r>
    </w:p>
    <w:p>
      <w:pPr>
        <w:rPr>
          <w:rFonts w:hint="default"/>
          <w:color w:val="auto"/>
          <w:lang w:val="en-US" w:eastAsia="zh-CN"/>
        </w:rPr>
      </w:pPr>
      <w:r>
        <w:rPr>
          <w:rFonts w:hint="eastAsia"/>
          <w:color w:val="auto"/>
        </w:rPr>
        <w:t>该区域主要位于勐海县东南部格朗和乡境内，面积约</w:t>
      </w:r>
      <w:r>
        <w:rPr>
          <w:rFonts w:hint="eastAsia" w:ascii="Times New Roman" w:hAnsi="Times New Roman"/>
          <w:color w:val="auto"/>
          <w:szCs w:val="22"/>
        </w:rPr>
        <w:t>94.92</w:t>
      </w:r>
      <w:r>
        <w:rPr>
          <w:rFonts w:hint="eastAsia"/>
          <w:color w:val="auto"/>
        </w:rPr>
        <w:t>平方千米，占全县重点防治区总面积的</w:t>
      </w:r>
      <w:r>
        <w:rPr>
          <w:rFonts w:hint="eastAsia" w:ascii="Times New Roman" w:hAnsi="Times New Roman"/>
          <w:color w:val="auto"/>
          <w:szCs w:val="22"/>
        </w:rPr>
        <w:t>1.77%</w:t>
      </w:r>
      <w:r>
        <w:rPr>
          <w:rFonts w:hint="eastAsia"/>
          <w:color w:val="auto"/>
        </w:rPr>
        <w:t>。据统计，区内地貌主要未中-浅切割孤岭状中山地形和中-浅切割脊状中山地形，地形坡度一般</w:t>
      </w:r>
      <w:r>
        <w:rPr>
          <w:rFonts w:hint="eastAsia" w:ascii="Times New Roman" w:hAnsi="Times New Roman"/>
          <w:color w:val="auto"/>
        </w:rPr>
        <w:t>15</w:t>
      </w:r>
      <w:r>
        <w:rPr>
          <w:rFonts w:hint="eastAsia"/>
          <w:color w:val="auto"/>
        </w:rPr>
        <w:t>-</w:t>
      </w:r>
      <w:r>
        <w:rPr>
          <w:rFonts w:hint="eastAsia" w:ascii="Times New Roman" w:hAnsi="Times New Roman"/>
          <w:color w:val="auto"/>
        </w:rPr>
        <w:t>35</w:t>
      </w:r>
      <w:r>
        <w:rPr>
          <w:rFonts w:hint="eastAsia"/>
          <w:color w:val="auto"/>
        </w:rPr>
        <w:t>°；区内出露的地层岩性主要为华力西晚期花岗岩；主要工程地质岩组为块状花岗岩岩组等；岩体风化较强烈，全风化层厚度一般为</w:t>
      </w:r>
      <w:r>
        <w:rPr>
          <w:rFonts w:hint="eastAsia" w:ascii="Times New Roman" w:hAnsi="Times New Roman"/>
          <w:color w:val="auto"/>
        </w:rPr>
        <w:t>3</w:t>
      </w:r>
      <w:r>
        <w:rPr>
          <w:rFonts w:hint="eastAsia"/>
          <w:color w:val="auto"/>
        </w:rPr>
        <w:t>—</w:t>
      </w:r>
      <w:r>
        <w:rPr>
          <w:rFonts w:hint="eastAsia" w:ascii="Times New Roman" w:hAnsi="Times New Roman"/>
          <w:color w:val="auto"/>
        </w:rPr>
        <w:t>15</w:t>
      </w:r>
      <w:r>
        <w:rPr>
          <w:rFonts w:hint="eastAsia"/>
          <w:color w:val="auto"/>
        </w:rPr>
        <w:t>m，局部达</w:t>
      </w:r>
      <w:r>
        <w:rPr>
          <w:rFonts w:hint="eastAsia" w:ascii="Times New Roman" w:hAnsi="Times New Roman"/>
          <w:color w:val="auto"/>
        </w:rPr>
        <w:t>25</w:t>
      </w:r>
      <w:r>
        <w:rPr>
          <w:rFonts w:hint="eastAsia"/>
          <w:color w:val="auto"/>
        </w:rPr>
        <w:t>m，花岗岩风化层结构松散，粘结性差，水土流失现象明显，风化过程中伴有球状风化，地表植被较发育；区内人类活动较强烈，土地利用现状多为城镇建设、公路建设。中小型滑坡是该区防治重点。</w:t>
      </w:r>
    </w:p>
    <w:p>
      <w:pPr>
        <w:pStyle w:val="5"/>
        <w:bidi w:val="0"/>
        <w:rPr>
          <w:rFonts w:hint="default"/>
          <w:color w:val="auto"/>
          <w:lang w:val="en-US" w:eastAsia="zh-CN"/>
        </w:rPr>
      </w:pPr>
      <w:r>
        <w:rPr>
          <w:rFonts w:hint="eastAsia"/>
          <w:color w:val="auto"/>
          <w:lang w:val="en-US" w:eastAsia="zh-CN"/>
        </w:rPr>
        <w:t>4.</w:t>
      </w:r>
      <w:r>
        <w:rPr>
          <w:rFonts w:hint="default"/>
          <w:color w:val="auto"/>
          <w:lang w:val="en-US" w:eastAsia="zh-CN"/>
        </w:rPr>
        <w:t>打洛-曼岗-布朗山班等一三组滑坡重点防治区</w:t>
      </w:r>
    </w:p>
    <w:p>
      <w:pPr>
        <w:ind w:firstLine="640"/>
        <w:rPr>
          <w:rFonts w:hint="default"/>
          <w:color w:val="auto"/>
          <w:lang w:val="en-US" w:eastAsia="zh-CN"/>
        </w:rPr>
      </w:pPr>
      <w:r>
        <w:rPr>
          <w:rFonts w:hint="eastAsia"/>
          <w:color w:val="auto"/>
        </w:rPr>
        <w:t>该区域主要位于省道</w:t>
      </w:r>
      <w:r>
        <w:rPr>
          <w:rFonts w:hint="eastAsia" w:ascii="Times New Roman" w:hAnsi="Times New Roman"/>
          <w:color w:val="auto"/>
          <w:szCs w:val="28"/>
        </w:rPr>
        <w:t>320</w:t>
      </w:r>
      <w:r>
        <w:rPr>
          <w:rFonts w:hint="eastAsia"/>
          <w:color w:val="auto"/>
        </w:rPr>
        <w:t>打洛-勐混曼岗段沿线人口集中区以及布朗山曼囡、章家一带，面积约</w:t>
      </w:r>
      <w:r>
        <w:rPr>
          <w:rFonts w:hint="eastAsia" w:ascii="Times New Roman" w:hAnsi="Times New Roman"/>
          <w:color w:val="auto"/>
          <w:szCs w:val="28"/>
        </w:rPr>
        <w:t>369.64</w:t>
      </w:r>
      <w:r>
        <w:rPr>
          <w:rFonts w:hint="eastAsia"/>
          <w:color w:val="auto"/>
        </w:rPr>
        <w:t>平方千米，占全县重点防治区总面积的</w:t>
      </w:r>
      <w:r>
        <w:rPr>
          <w:rFonts w:hint="eastAsia" w:ascii="Times New Roman" w:hAnsi="Times New Roman"/>
          <w:color w:val="auto"/>
          <w:szCs w:val="28"/>
        </w:rPr>
        <w:t>6.88%</w:t>
      </w:r>
      <w:r>
        <w:rPr>
          <w:rFonts w:hint="eastAsia"/>
          <w:color w:val="auto"/>
        </w:rPr>
        <w:t>。据统计，区内地貌类型为浅切割馒头状低中山地形、微切割梁岗状低山、低中山地形、盆地及河流堆积地形；地形坡度一般</w:t>
      </w:r>
      <w:r>
        <w:rPr>
          <w:rFonts w:hint="eastAsia" w:ascii="Times New Roman" w:hAnsi="Times New Roman"/>
          <w:color w:val="auto"/>
          <w:szCs w:val="28"/>
        </w:rPr>
        <w:t>10-35°</w:t>
      </w:r>
      <w:r>
        <w:rPr>
          <w:rFonts w:hint="eastAsia"/>
          <w:color w:val="auto"/>
        </w:rPr>
        <w:t>；区内出露的主要地层岩性为印支期、华力西晚期花岗岩，上元古界澜沧群惠民组、曼来组、勐井山组绢云片岩、微晶片岩；主要工程地质岩组为薄层状较软片岩岩组，块状、碎裂状较硬花岗岩岩组；岩体风化较强，全风化带厚度一般</w:t>
      </w:r>
      <w:r>
        <w:rPr>
          <w:rFonts w:hint="eastAsia" w:ascii="Times New Roman" w:hAnsi="Times New Roman"/>
          <w:color w:val="auto"/>
          <w:szCs w:val="28"/>
        </w:rPr>
        <w:t>5-15</w:t>
      </w:r>
      <w:r>
        <w:rPr>
          <w:rFonts w:hint="eastAsia"/>
          <w:color w:val="auto"/>
        </w:rPr>
        <w:t>m，局部地区达</w:t>
      </w:r>
      <w:r>
        <w:rPr>
          <w:rFonts w:hint="eastAsia" w:ascii="Times New Roman" w:hAnsi="Times New Roman"/>
          <w:color w:val="auto"/>
          <w:szCs w:val="28"/>
        </w:rPr>
        <w:t>25</w:t>
      </w:r>
      <w:r>
        <w:rPr>
          <w:rFonts w:hint="eastAsia"/>
          <w:color w:val="auto"/>
        </w:rPr>
        <w:t>m；区内村庄分布较为分散，村庄人口较为集中，人类工程活动多为村庄建设、道路修建等，村庄附近人类耕植活动较强烈。中小型滑坡是该区防治重点。</w:t>
      </w:r>
    </w:p>
    <w:p>
      <w:pPr>
        <w:pStyle w:val="5"/>
        <w:bidi w:val="0"/>
        <w:rPr>
          <w:rFonts w:hint="default"/>
          <w:color w:val="auto"/>
          <w:lang w:val="en-US" w:eastAsia="zh-CN"/>
        </w:rPr>
      </w:pPr>
      <w:r>
        <w:rPr>
          <w:rFonts w:hint="eastAsia"/>
          <w:color w:val="auto"/>
          <w:lang w:val="en-US" w:eastAsia="zh-CN"/>
        </w:rPr>
        <w:t>5.</w:t>
      </w:r>
      <w:r>
        <w:rPr>
          <w:rFonts w:hint="default"/>
          <w:color w:val="auto"/>
          <w:lang w:val="en-US" w:eastAsia="zh-CN"/>
        </w:rPr>
        <w:t>布朗山乡空坎一队-布朗山章家三、四队滑坡重点防治区</w:t>
      </w:r>
    </w:p>
    <w:p>
      <w:pPr>
        <w:bidi w:val="0"/>
        <w:rPr>
          <w:rFonts w:hint="default"/>
          <w:color w:val="auto"/>
          <w:lang w:val="en-US" w:eastAsia="zh-CN"/>
        </w:rPr>
      </w:pPr>
      <w:r>
        <w:rPr>
          <w:rFonts w:hint="eastAsia"/>
          <w:color w:val="auto"/>
        </w:rPr>
        <w:t>该区域主要位于布朗山村委会-布朗山章家三、四队一带，面积约</w:t>
      </w:r>
      <w:r>
        <w:rPr>
          <w:rFonts w:hint="eastAsia" w:ascii="Times New Roman" w:hAnsi="Times New Roman"/>
          <w:color w:val="auto"/>
          <w:szCs w:val="28"/>
        </w:rPr>
        <w:t>44.36</w:t>
      </w:r>
      <w:r>
        <w:rPr>
          <w:rFonts w:hint="eastAsia" w:ascii="Times New Roman" w:hAnsi="Times New Roman"/>
          <w:color w:val="auto"/>
          <w:szCs w:val="28"/>
        </w:rPr>
        <w:tab/>
      </w:r>
      <w:r>
        <w:rPr>
          <w:rFonts w:hint="eastAsia"/>
          <w:color w:val="auto"/>
        </w:rPr>
        <w:t>平方千米，占全县重点防治区总面积的</w:t>
      </w:r>
      <w:r>
        <w:rPr>
          <w:rFonts w:hint="eastAsia" w:ascii="Times New Roman" w:hAnsi="Times New Roman"/>
          <w:color w:val="auto"/>
          <w:szCs w:val="28"/>
        </w:rPr>
        <w:t>0.83%</w:t>
      </w:r>
      <w:r>
        <w:rPr>
          <w:rFonts w:hint="eastAsia"/>
          <w:color w:val="auto"/>
        </w:rPr>
        <w:t>。据统计，</w:t>
      </w:r>
      <w:r>
        <w:rPr>
          <w:rFonts w:hint="default"/>
          <w:color w:val="auto"/>
          <w:lang w:val="en-US" w:eastAsia="zh-CN"/>
        </w:rPr>
        <w:t>区内地貌类型为浅切割馒头状低中山地形、微切割梁岗状低山、低中山地形、盆地及河流堆积地形；地形坡度一般</w:t>
      </w:r>
      <w:r>
        <w:rPr>
          <w:rFonts w:hint="default" w:ascii="Times New Roman" w:hAnsi="Times New Roman"/>
          <w:color w:val="auto"/>
          <w:szCs w:val="28"/>
          <w:lang w:val="en-US" w:eastAsia="zh-CN"/>
        </w:rPr>
        <w:t>10-35°</w:t>
      </w:r>
      <w:r>
        <w:rPr>
          <w:rFonts w:hint="default"/>
          <w:color w:val="auto"/>
          <w:lang w:val="en-US" w:eastAsia="zh-CN"/>
        </w:rPr>
        <w:t>；区内出露的主要地层岩性为印支期、华力西晚期花岗岩，上元古界澜沧群惠民组、曼来组、勐井山组绢云片岩、微晶片岩；主要工程地质岩组为薄层状较软片岩岩组，块状、碎裂状较硬花岗岩岩组；岩体风化较强，全风化带厚度一般</w:t>
      </w:r>
      <w:r>
        <w:rPr>
          <w:rFonts w:hint="default" w:ascii="Times New Roman" w:hAnsi="Times New Roman"/>
          <w:color w:val="auto"/>
          <w:szCs w:val="28"/>
          <w:lang w:val="en-US" w:eastAsia="zh-CN"/>
        </w:rPr>
        <w:t>5-15m</w:t>
      </w:r>
      <w:r>
        <w:rPr>
          <w:rFonts w:hint="default"/>
          <w:color w:val="auto"/>
          <w:lang w:val="en-US" w:eastAsia="zh-CN"/>
        </w:rPr>
        <w:t>，局部地区达</w:t>
      </w:r>
      <w:r>
        <w:rPr>
          <w:rFonts w:hint="default" w:ascii="Times New Roman" w:hAnsi="Times New Roman"/>
          <w:color w:val="auto"/>
          <w:szCs w:val="28"/>
          <w:lang w:val="en-US" w:eastAsia="zh-CN"/>
        </w:rPr>
        <w:t>25m</w:t>
      </w:r>
      <w:r>
        <w:rPr>
          <w:rFonts w:hint="default"/>
          <w:color w:val="auto"/>
          <w:lang w:val="en-US" w:eastAsia="zh-CN"/>
        </w:rPr>
        <w:t>；区内村庄分布较为分散，村庄人口较为集中，人类工程活动多为村庄建设、道路修建等，村庄附近人类耕植活动较强烈。</w:t>
      </w:r>
      <w:r>
        <w:rPr>
          <w:rFonts w:hint="eastAsia"/>
          <w:color w:val="auto"/>
          <w:lang w:val="en-US" w:eastAsia="zh-CN"/>
        </w:rPr>
        <w:t>中小型滑坡</w:t>
      </w:r>
      <w:r>
        <w:rPr>
          <w:rFonts w:hint="eastAsia"/>
          <w:color w:val="auto"/>
        </w:rPr>
        <w:t>是该区防治重点。</w:t>
      </w:r>
    </w:p>
    <w:p>
      <w:pPr>
        <w:pStyle w:val="3"/>
        <w:numPr>
          <w:ilvl w:val="0"/>
          <w:numId w:val="0"/>
        </w:numPr>
        <w:ind w:left="640" w:leftChars="200"/>
        <w:rPr>
          <w:color w:val="auto"/>
        </w:rPr>
      </w:pPr>
      <w:bookmarkStart w:id="48" w:name="_Toc58933923"/>
      <w:bookmarkStart w:id="49" w:name="_Toc31705"/>
      <w:r>
        <w:rPr>
          <w:rFonts w:hint="eastAsia"/>
          <w:color w:val="auto"/>
        </w:rPr>
        <w:t>五、地质灾害防治任务</w:t>
      </w:r>
      <w:bookmarkEnd w:id="48"/>
      <w:bookmarkEnd w:id="49"/>
    </w:p>
    <w:p>
      <w:pPr>
        <w:pStyle w:val="4"/>
        <w:ind w:firstLine="640"/>
        <w:rPr>
          <w:color w:val="auto"/>
        </w:rPr>
      </w:pPr>
      <w:bookmarkStart w:id="50" w:name="_Toc78495277"/>
      <w:bookmarkStart w:id="51" w:name="_Toc21751"/>
      <w:r>
        <w:rPr>
          <w:rFonts w:hint="eastAsia"/>
          <w:color w:val="auto"/>
        </w:rPr>
        <w:t>（一）调查评价</w:t>
      </w:r>
      <w:bookmarkEnd w:id="50"/>
      <w:bookmarkEnd w:id="51"/>
    </w:p>
    <w:p>
      <w:pPr>
        <w:pStyle w:val="5"/>
        <w:ind w:firstLine="643"/>
        <w:rPr>
          <w:color w:val="auto"/>
        </w:rPr>
      </w:pPr>
      <w:r>
        <w:rPr>
          <w:rFonts w:hint="eastAsia"/>
          <w:color w:val="auto"/>
        </w:rPr>
        <w:t>1.</w:t>
      </w:r>
      <w:r>
        <w:rPr>
          <w:color w:val="auto"/>
        </w:rPr>
        <w:t>地质灾害巡查核查</w:t>
      </w:r>
    </w:p>
    <w:p>
      <w:pPr>
        <w:ind w:firstLine="640"/>
        <w:rPr>
          <w:color w:val="auto"/>
        </w:rPr>
      </w:pPr>
      <w:r>
        <w:rPr>
          <w:color w:val="auto"/>
        </w:rPr>
        <w:t>按照省自然资源厅地质灾害排查、巡查、核查工作制度要求，每年</w:t>
      </w:r>
      <w:r>
        <w:rPr>
          <w:rFonts w:hint="eastAsia"/>
          <w:color w:val="auto"/>
        </w:rPr>
        <w:t>开展地质灾害</w:t>
      </w:r>
      <w:r>
        <w:rPr>
          <w:color w:val="auto"/>
        </w:rPr>
        <w:t>汛前、汛期、汛后排查各一次</w:t>
      </w:r>
      <w:r>
        <w:rPr>
          <w:rFonts w:hint="eastAsia"/>
          <w:color w:val="auto"/>
        </w:rPr>
        <w:t>。</w:t>
      </w:r>
      <w:r>
        <w:rPr>
          <w:color w:val="auto"/>
        </w:rPr>
        <w:t>汛前</w:t>
      </w:r>
      <w:r>
        <w:rPr>
          <w:rFonts w:hint="eastAsia"/>
          <w:color w:val="auto"/>
        </w:rPr>
        <w:t>重点对上年度新增地质灾害隐患点进行排查，并对监测预警设施进行检查维护；</w:t>
      </w:r>
      <w:r>
        <w:rPr>
          <w:color w:val="auto"/>
        </w:rPr>
        <w:t>汛中巡查针对重点隐患点及新上报的点</w:t>
      </w:r>
      <w:r>
        <w:rPr>
          <w:rFonts w:hint="eastAsia"/>
          <w:color w:val="auto"/>
        </w:rPr>
        <w:t>，</w:t>
      </w:r>
      <w:r>
        <w:rPr>
          <w:color w:val="auto"/>
        </w:rPr>
        <w:t>落实各种防灾减灾措施到位情况</w:t>
      </w:r>
      <w:r>
        <w:rPr>
          <w:rFonts w:hint="eastAsia"/>
          <w:color w:val="auto"/>
        </w:rPr>
        <w:t>；</w:t>
      </w:r>
      <w:r>
        <w:rPr>
          <w:color w:val="auto"/>
        </w:rPr>
        <w:t>汛后</w:t>
      </w:r>
      <w:r>
        <w:rPr>
          <w:rFonts w:hint="eastAsia"/>
          <w:color w:val="auto"/>
        </w:rPr>
        <w:t>进行全方位核查，对地质灾害现状及趋势进行评价</w:t>
      </w:r>
      <w:r>
        <w:rPr>
          <w:color w:val="auto"/>
        </w:rPr>
        <w:t>为下一年度开展相关防治工作提出建议。</w:t>
      </w:r>
    </w:p>
    <w:p>
      <w:pPr>
        <w:pStyle w:val="5"/>
        <w:ind w:firstLine="643"/>
        <w:rPr>
          <w:color w:val="auto"/>
        </w:rPr>
      </w:pPr>
      <w:r>
        <w:rPr>
          <w:rFonts w:hint="eastAsia"/>
          <w:color w:val="auto"/>
        </w:rPr>
        <w:t>2.地质灾害风险普查</w:t>
      </w:r>
    </w:p>
    <w:p>
      <w:pPr>
        <w:ind w:firstLine="643"/>
        <w:rPr>
          <w:rFonts w:hint="eastAsia" w:ascii="Times New Roman"/>
          <w:color w:val="auto"/>
        </w:rPr>
      </w:pPr>
      <w:r>
        <w:rPr>
          <w:color w:val="auto"/>
        </w:rPr>
        <w:t>开展</w:t>
      </w:r>
      <w:r>
        <w:rPr>
          <w:rFonts w:hint="eastAsia"/>
          <w:color w:val="auto"/>
        </w:rPr>
        <w:t>县</w:t>
      </w:r>
      <w:r>
        <w:rPr>
          <w:color w:val="auto"/>
        </w:rPr>
        <w:t>级</w:t>
      </w:r>
      <w:r>
        <w:rPr>
          <w:rFonts w:hint="eastAsia" w:ascii="Times New Roman" w:hAnsi="Times New Roman"/>
          <w:color w:val="auto"/>
          <w:szCs w:val="28"/>
        </w:rPr>
        <w:t>1：5</w:t>
      </w:r>
      <w:r>
        <w:rPr>
          <w:color w:val="auto"/>
        </w:rPr>
        <w:t>万</w:t>
      </w:r>
      <w:r>
        <w:rPr>
          <w:rFonts w:hint="eastAsia"/>
          <w:color w:val="auto"/>
        </w:rPr>
        <w:t>地质</w:t>
      </w:r>
      <w:r>
        <w:rPr>
          <w:color w:val="auto"/>
        </w:rPr>
        <w:t>灾害风险普查，摸清地质灾害风险隐患底数，查清地质灾害抗灾能力和减灾能力，客观认识</w:t>
      </w:r>
      <w:r>
        <w:rPr>
          <w:rFonts w:hint="eastAsia"/>
          <w:color w:val="auto"/>
        </w:rPr>
        <w:t>全县</w:t>
      </w:r>
      <w:r>
        <w:rPr>
          <w:color w:val="auto"/>
        </w:rPr>
        <w:t>地质灾害风险水平。</w:t>
      </w:r>
      <w:r>
        <w:rPr>
          <w:rFonts w:hint="eastAsia"/>
          <w:color w:val="auto"/>
        </w:rPr>
        <w:t>随</w:t>
      </w:r>
      <w:r>
        <w:rPr>
          <w:rFonts w:hint="eastAsia" w:ascii="Times New Roman"/>
          <w:color w:val="auto"/>
        </w:rPr>
        <w:t>地质灾害风险调查的深入，为地质灾害风险防控智慧服务平台和风险区管控提供地质灾害隐患点和风险区底数等基础数据，为国土空间规划编制提供依据。</w:t>
      </w:r>
    </w:p>
    <w:p>
      <w:pPr>
        <w:pStyle w:val="5"/>
        <w:bidi w:val="0"/>
        <w:rPr>
          <w:color w:val="auto"/>
        </w:rPr>
      </w:pPr>
      <w:r>
        <w:rPr>
          <w:rFonts w:hint="eastAsia"/>
          <w:color w:val="auto"/>
        </w:rPr>
        <w:t>3.</w:t>
      </w:r>
      <w:r>
        <w:rPr>
          <w:color w:val="auto"/>
        </w:rPr>
        <w:t>地质灾害</w:t>
      </w:r>
      <w:r>
        <w:rPr>
          <w:rFonts w:hint="eastAsia"/>
          <w:color w:val="auto"/>
        </w:rPr>
        <w:t>精细化调查。</w:t>
      </w:r>
    </w:p>
    <w:p>
      <w:pPr>
        <w:widowControl w:val="0"/>
        <w:ind w:firstLine="640"/>
        <w:rPr>
          <w:rFonts w:hint="eastAsia"/>
          <w:color w:val="auto"/>
        </w:rPr>
      </w:pPr>
      <w:r>
        <w:rPr>
          <w:rFonts w:hint="eastAsia"/>
          <w:color w:val="auto"/>
        </w:rPr>
        <w:t>全面开展全</w:t>
      </w:r>
      <w:r>
        <w:rPr>
          <w:rFonts w:hint="eastAsia"/>
          <w:color w:val="auto"/>
          <w:lang w:val="en-US" w:eastAsia="zh-CN"/>
        </w:rPr>
        <w:t>县</w:t>
      </w:r>
      <w:r>
        <w:rPr>
          <w:rFonts w:hint="eastAsia"/>
          <w:color w:val="auto"/>
        </w:rPr>
        <w:t>地质灾害精细化调查工作，以提高地质灾害基础调查研究深度、查明我</w:t>
      </w:r>
      <w:r>
        <w:rPr>
          <w:rFonts w:hint="eastAsia"/>
          <w:color w:val="auto"/>
          <w:lang w:val="en-US" w:eastAsia="zh-CN"/>
        </w:rPr>
        <w:t>县</w:t>
      </w:r>
      <w:r>
        <w:rPr>
          <w:rFonts w:hint="eastAsia"/>
          <w:color w:val="auto"/>
        </w:rPr>
        <w:t>主要地质灾害孕灾条件，提升地质灾害防灾减灾科技支撑能力，提出地质灾害风险管控措施建议，为地质灾害防灾减灾规划、国土空间规划和用途管制提供基础依据。</w:t>
      </w:r>
    </w:p>
    <w:p>
      <w:pPr>
        <w:ind w:firstLine="643"/>
        <w:rPr>
          <w:b/>
          <w:color w:val="auto"/>
        </w:rPr>
      </w:pPr>
      <w:r>
        <w:rPr>
          <w:rFonts w:hint="eastAsia"/>
          <w:b/>
          <w:color w:val="auto"/>
        </w:rPr>
        <w:t>4.遥感验证。</w:t>
      </w:r>
    </w:p>
    <w:p>
      <w:pPr>
        <w:ind w:firstLine="640"/>
        <w:rPr>
          <w:color w:val="auto"/>
        </w:rPr>
      </w:pPr>
      <w:r>
        <w:rPr>
          <w:rFonts w:hint="eastAsia"/>
          <w:color w:val="auto"/>
        </w:rPr>
        <w:t>按照部、省级下发的综合遥感影像数据，开展现场验证，不断完善全</w:t>
      </w:r>
      <w:r>
        <w:rPr>
          <w:rFonts w:hint="eastAsia"/>
          <w:color w:val="auto"/>
          <w:lang w:val="en-US" w:eastAsia="zh-CN"/>
        </w:rPr>
        <w:t>县</w:t>
      </w:r>
      <w:r>
        <w:rPr>
          <w:rFonts w:hint="eastAsia"/>
          <w:color w:val="auto"/>
        </w:rPr>
        <w:t>地质灾害调查深度，并向上级部门反馈验证数据，提升全</w:t>
      </w:r>
      <w:r>
        <w:rPr>
          <w:rFonts w:hint="eastAsia"/>
          <w:color w:val="auto"/>
          <w:lang w:val="en-US" w:eastAsia="zh-CN"/>
        </w:rPr>
        <w:t>县</w:t>
      </w:r>
      <w:r>
        <w:rPr>
          <w:rFonts w:hint="eastAsia"/>
          <w:color w:val="auto"/>
        </w:rPr>
        <w:t>综合遥感识别的准确度。</w:t>
      </w:r>
    </w:p>
    <w:p>
      <w:pPr>
        <w:pStyle w:val="4"/>
        <w:ind w:firstLine="640"/>
        <w:rPr>
          <w:color w:val="auto"/>
        </w:rPr>
      </w:pPr>
      <w:bookmarkStart w:id="52" w:name="_Toc78495278"/>
      <w:bookmarkStart w:id="53" w:name="_Toc9340"/>
      <w:bookmarkStart w:id="54" w:name="_Toc58933926"/>
      <w:r>
        <w:rPr>
          <w:rFonts w:hint="eastAsia"/>
          <w:color w:val="auto"/>
        </w:rPr>
        <w:t>（二）监测预警</w:t>
      </w:r>
      <w:bookmarkEnd w:id="52"/>
      <w:bookmarkEnd w:id="53"/>
    </w:p>
    <w:p>
      <w:pPr>
        <w:ind w:firstLine="640"/>
        <w:rPr>
          <w:color w:val="auto"/>
        </w:rPr>
      </w:pPr>
      <w:r>
        <w:rPr>
          <w:color w:val="auto"/>
        </w:rPr>
        <w:t>在现有群测群防监测网络的基础上，建立以群测群防为基础</w:t>
      </w:r>
      <w:r>
        <w:rPr>
          <w:rFonts w:hint="eastAsia"/>
          <w:color w:val="auto"/>
        </w:rPr>
        <w:t>、专业监测、气象预警为优势监测预警体系，</w:t>
      </w:r>
      <w:r>
        <w:rPr>
          <w:color w:val="auto"/>
        </w:rPr>
        <w:t>实现群专结合的专业监测网络，与预警系统共同为防治地质灾害服务。</w:t>
      </w:r>
    </w:p>
    <w:p>
      <w:pPr>
        <w:pStyle w:val="5"/>
        <w:ind w:firstLine="643"/>
        <w:rPr>
          <w:color w:val="auto"/>
        </w:rPr>
      </w:pPr>
      <w:r>
        <w:rPr>
          <w:rFonts w:hint="eastAsia"/>
          <w:color w:val="auto"/>
        </w:rPr>
        <w:t>1.群测群防</w:t>
      </w:r>
    </w:p>
    <w:p>
      <w:pPr>
        <w:ind w:firstLine="640"/>
        <w:rPr>
          <w:color w:val="auto"/>
        </w:rPr>
      </w:pPr>
      <w:r>
        <w:rPr>
          <w:rFonts w:hint="eastAsia"/>
          <w:color w:val="auto"/>
        </w:rPr>
        <w:t>对全县现存所有地质灾害隐患点实施群测群防，并根据年度地质灾害发育情况进行动态调整，做到应纳即纳，</w:t>
      </w:r>
      <w:r>
        <w:rPr>
          <w:color w:val="auto"/>
        </w:rPr>
        <w:t>规划起始期全</w:t>
      </w:r>
      <w:r>
        <w:rPr>
          <w:rFonts w:hint="eastAsia"/>
          <w:color w:val="auto"/>
          <w:lang w:val="en-US" w:eastAsia="zh-CN"/>
        </w:rPr>
        <w:t>县</w:t>
      </w:r>
      <w:r>
        <w:rPr>
          <w:color w:val="auto"/>
        </w:rPr>
        <w:t>共有地质灾害隐患点</w:t>
      </w:r>
      <w:r>
        <w:rPr>
          <w:rFonts w:hint="eastAsia" w:ascii="Times New Roman" w:hAnsi="Times New Roman"/>
          <w:color w:val="auto"/>
          <w:szCs w:val="28"/>
        </w:rPr>
        <w:t>44</w:t>
      </w:r>
      <w:r>
        <w:rPr>
          <w:color w:val="auto"/>
        </w:rPr>
        <w:t>处</w:t>
      </w:r>
      <w:r>
        <w:rPr>
          <w:rFonts w:hint="eastAsia"/>
          <w:color w:val="auto"/>
        </w:rPr>
        <w:t>。</w:t>
      </w:r>
    </w:p>
    <w:p>
      <w:pPr>
        <w:pStyle w:val="5"/>
        <w:ind w:firstLine="643"/>
        <w:rPr>
          <w:color w:val="auto"/>
        </w:rPr>
      </w:pPr>
      <w:r>
        <w:rPr>
          <w:rFonts w:hint="eastAsia"/>
          <w:color w:val="auto"/>
        </w:rPr>
        <w:t>2.专业监测</w:t>
      </w:r>
    </w:p>
    <w:p>
      <w:pPr>
        <w:ind w:firstLine="640"/>
        <w:rPr>
          <w:color w:val="auto"/>
        </w:rPr>
      </w:pPr>
      <w:r>
        <w:rPr>
          <w:rFonts w:hint="eastAsia"/>
          <w:color w:val="auto"/>
        </w:rPr>
        <w:t>本方案编制过程中全县正在实施的</w:t>
      </w:r>
      <w:r>
        <w:rPr>
          <w:rFonts w:hint="eastAsia" w:ascii="Times New Roman" w:hAnsi="Times New Roman"/>
          <w:color w:val="auto"/>
          <w:szCs w:val="28"/>
        </w:rPr>
        <w:t>2021</w:t>
      </w:r>
      <w:r>
        <w:rPr>
          <w:rFonts w:hint="eastAsia"/>
          <w:color w:val="auto"/>
        </w:rPr>
        <w:t>年度</w:t>
      </w:r>
      <w:r>
        <w:rPr>
          <w:rFonts w:hint="eastAsia" w:ascii="Times New Roman" w:hAnsi="Times New Roman"/>
          <w:color w:val="auto"/>
          <w:szCs w:val="28"/>
        </w:rPr>
        <w:t>10</w:t>
      </w:r>
      <w:r>
        <w:rPr>
          <w:rFonts w:hint="eastAsia"/>
          <w:color w:val="auto"/>
        </w:rPr>
        <w:t>个地质灾害隐患点的设备安装与调试，均为普适性监测点。</w:t>
      </w:r>
      <w:r>
        <w:rPr>
          <w:rFonts w:hint="eastAsia" w:ascii="Times New Roman" w:hAnsi="Times New Roman"/>
          <w:color w:val="auto"/>
          <w:szCs w:val="28"/>
        </w:rPr>
        <w:t>2022</w:t>
      </w:r>
      <w:r>
        <w:rPr>
          <w:rFonts w:hint="eastAsia"/>
          <w:color w:val="auto"/>
        </w:rPr>
        <w:t>将持续加强群专体系建设，规划期内将持续加强群专体系建设，继续对</w:t>
      </w:r>
      <w:r>
        <w:rPr>
          <w:rFonts w:hint="eastAsia" w:ascii="Times New Roman" w:hAnsi="Times New Roman"/>
          <w:color w:val="auto"/>
          <w:szCs w:val="28"/>
          <w:lang w:val="en-US" w:eastAsia="zh-CN"/>
        </w:rPr>
        <w:t>8</w:t>
      </w:r>
      <w:r>
        <w:rPr>
          <w:rFonts w:hint="eastAsia"/>
          <w:color w:val="auto"/>
        </w:rPr>
        <w:t>个（附表</w:t>
      </w:r>
      <w:r>
        <w:rPr>
          <w:rFonts w:hint="eastAsia" w:ascii="Times New Roman" w:hAnsi="Times New Roman"/>
          <w:color w:val="auto"/>
          <w:szCs w:val="28"/>
        </w:rPr>
        <w:t>5</w:t>
      </w:r>
      <w:r>
        <w:rPr>
          <w:rFonts w:hint="eastAsia"/>
          <w:color w:val="auto"/>
        </w:rPr>
        <w:t>）地质灾害隐患点开展专业监测设备采购与安装，并加强设备的维护与数据应用分析，更好的服务于地质灾害防治。</w:t>
      </w:r>
    </w:p>
    <w:p>
      <w:pPr>
        <w:pStyle w:val="5"/>
        <w:ind w:firstLine="643"/>
        <w:rPr>
          <w:color w:val="auto"/>
        </w:rPr>
      </w:pPr>
      <w:r>
        <w:rPr>
          <w:rFonts w:hint="eastAsia"/>
          <w:color w:val="auto"/>
        </w:rPr>
        <w:t>3.气象预警</w:t>
      </w:r>
    </w:p>
    <w:p>
      <w:pPr>
        <w:ind w:firstLine="640"/>
        <w:rPr>
          <w:color w:val="auto"/>
        </w:rPr>
      </w:pPr>
      <w:r>
        <w:rPr>
          <w:rFonts w:hint="eastAsia"/>
          <w:color w:val="auto"/>
        </w:rPr>
        <w:t>每年汛期，由县人民政府统一协调，组建由</w:t>
      </w:r>
      <w:r>
        <w:rPr>
          <w:rFonts w:hint="eastAsia"/>
          <w:color w:val="auto"/>
          <w:lang w:val="en-US" w:eastAsia="zh-CN"/>
        </w:rPr>
        <w:t>县</w:t>
      </w:r>
      <w:r>
        <w:rPr>
          <w:rFonts w:hint="eastAsia"/>
          <w:color w:val="auto"/>
        </w:rPr>
        <w:t>自然资源、水务、地震、气象、广播电视和通信部门抽调技术人员及相关领导参与的联席会议，及时对地质灾害监测信息、群众反映的地质灾害迹象和气象、水文、地震预报信息进行综合分析，科学研判会商。雨季期间，县气象部门及时发布气象信息，预测可能发生地质灾害的区域和灾种，并通过互联网、广播、电视、报纸、手机、电子显示屏等载体，多渠道、多形式地将预警预报信息尽快专递到有关责任单位、责任人，督促责任单位、责任人落实到具体监测人及受灾威胁乡镇、村组，确保预测预报信息发布准确、及时和全面。</w:t>
      </w:r>
    </w:p>
    <w:p>
      <w:pPr>
        <w:pStyle w:val="5"/>
        <w:bidi w:val="0"/>
        <w:rPr>
          <w:color w:val="auto"/>
        </w:rPr>
      </w:pPr>
      <w:bookmarkStart w:id="55" w:name="_Hlk88322607"/>
      <w:r>
        <w:rPr>
          <w:color w:val="auto"/>
        </w:rPr>
        <w:t>4.</w:t>
      </w:r>
      <w:r>
        <w:rPr>
          <w:rFonts w:hint="eastAsia"/>
          <w:color w:val="auto"/>
        </w:rPr>
        <w:t>开展“隐患点+风险区”双控模式管理</w:t>
      </w:r>
      <w:bookmarkEnd w:id="55"/>
    </w:p>
    <w:p>
      <w:pPr>
        <w:pStyle w:val="2"/>
        <w:ind w:firstLine="640"/>
        <w:rPr>
          <w:color w:val="auto"/>
        </w:rPr>
      </w:pPr>
      <w:r>
        <w:rPr>
          <w:color w:val="auto"/>
        </w:rPr>
        <w:t>建立地质灾害风险源头管控机制</w:t>
      </w:r>
      <w:r>
        <w:rPr>
          <w:rFonts w:hint="eastAsia"/>
          <w:color w:val="auto"/>
        </w:rPr>
        <w:t>，</w:t>
      </w:r>
      <w:r>
        <w:rPr>
          <w:color w:val="auto"/>
        </w:rPr>
        <w:t>发挥地质灾害危险性评估作用</w:t>
      </w:r>
      <w:r>
        <w:rPr>
          <w:rFonts w:hint="eastAsia"/>
          <w:color w:val="auto"/>
        </w:rPr>
        <w:t>，按照部、省、州有关要求，依托地质灾害风险普查成果，对地质灾害重点防治区开展“隐患点+风险区”双控模式管理，并深入模式创新，</w:t>
      </w:r>
      <w:r>
        <w:rPr>
          <w:color w:val="auto"/>
        </w:rPr>
        <w:t>强化国土空间规划和用途管制。</w:t>
      </w:r>
    </w:p>
    <w:bookmarkEnd w:id="54"/>
    <w:p>
      <w:pPr>
        <w:pStyle w:val="4"/>
        <w:ind w:firstLine="640"/>
        <w:rPr>
          <w:color w:val="auto"/>
        </w:rPr>
      </w:pPr>
      <w:bookmarkStart w:id="56" w:name="_Toc6150"/>
      <w:bookmarkStart w:id="57" w:name="_Toc78495279"/>
      <w:r>
        <w:rPr>
          <w:rFonts w:hint="eastAsia"/>
          <w:color w:val="auto"/>
        </w:rPr>
        <w:t>（三）工程治理</w:t>
      </w:r>
      <w:bookmarkEnd w:id="56"/>
      <w:bookmarkEnd w:id="57"/>
    </w:p>
    <w:p>
      <w:pPr>
        <w:pStyle w:val="5"/>
        <w:bidi w:val="0"/>
        <w:rPr>
          <w:rFonts w:hint="eastAsia"/>
          <w:color w:val="auto"/>
        </w:rPr>
      </w:pPr>
      <w:r>
        <w:rPr>
          <w:color w:val="auto"/>
        </w:rPr>
        <w:t>1.</w:t>
      </w:r>
      <w:r>
        <w:rPr>
          <w:rFonts w:hint="eastAsia"/>
          <w:color w:val="auto"/>
        </w:rPr>
        <w:t>威胁较大灾害点实施工程治理</w:t>
      </w:r>
    </w:p>
    <w:p>
      <w:pPr>
        <w:ind w:firstLine="640"/>
        <w:rPr>
          <w:rFonts w:hint="eastAsia"/>
          <w:color w:val="auto"/>
        </w:rPr>
      </w:pPr>
      <w:r>
        <w:rPr>
          <w:rFonts w:hint="eastAsia"/>
          <w:color w:val="auto"/>
        </w:rPr>
        <w:t>本次规划主要考虑对危害公共安全、可能造成人员伤亡、财产与环境重大损失、治理费用远小于预期损失值的灾害体，有计划的分期、分批实施治理工程。通过工程治理措施、生态修复治理措施的单独或联合使用，达到抑制或消除地质灾害隐患的目的。规划期内共实施工程治理灾害点15个，可使1071人，4340万资产免受现有地质灾害的威胁。</w:t>
      </w:r>
    </w:p>
    <w:p>
      <w:pPr>
        <w:pStyle w:val="5"/>
        <w:bidi w:val="0"/>
        <w:rPr>
          <w:color w:val="auto"/>
        </w:rPr>
      </w:pPr>
      <w:bookmarkStart w:id="58" w:name="_Hlk88837648"/>
      <w:r>
        <w:rPr>
          <w:color w:val="auto"/>
        </w:rPr>
        <w:t>2.</w:t>
      </w:r>
      <w:bookmarkStart w:id="59" w:name="_Hlk88321622"/>
      <w:r>
        <w:rPr>
          <w:rFonts w:hint="eastAsia"/>
          <w:color w:val="auto"/>
        </w:rPr>
        <w:t>排威除险工程</w:t>
      </w:r>
      <w:bookmarkEnd w:id="58"/>
      <w:bookmarkEnd w:id="59"/>
    </w:p>
    <w:p>
      <w:pPr>
        <w:ind w:firstLine="640"/>
        <w:rPr>
          <w:color w:val="auto"/>
        </w:rPr>
      </w:pPr>
      <w:bookmarkStart w:id="60" w:name="_Hlk88321653"/>
      <w:bookmarkStart w:id="61" w:name="_Hlk88837689"/>
      <w:r>
        <w:rPr>
          <w:rFonts w:hint="eastAsia"/>
          <w:color w:val="auto"/>
        </w:rPr>
        <w:t>对威胁不大、险情小、规模小以及群众切坡建房等形成的地质灾害隐患点，</w:t>
      </w:r>
      <w:bookmarkEnd w:id="60"/>
      <w:r>
        <w:rPr>
          <w:rFonts w:hint="eastAsia"/>
          <w:color w:val="auto"/>
        </w:rPr>
        <w:t>适当给与一定的物资支持以及技术支持，充分</w:t>
      </w:r>
      <w:bookmarkStart w:id="62" w:name="_Hlk88321829"/>
      <w:r>
        <w:rPr>
          <w:rFonts w:hint="eastAsia"/>
          <w:color w:val="auto"/>
        </w:rPr>
        <w:t>发挥群众主观能动性，</w:t>
      </w:r>
      <w:bookmarkEnd w:id="62"/>
      <w:r>
        <w:rPr>
          <w:rFonts w:hint="eastAsia"/>
          <w:color w:val="auto"/>
        </w:rPr>
        <w:t>采取简易的防治措施能够达到减轻或消除灾害的目的。</w:t>
      </w:r>
    </w:p>
    <w:bookmarkEnd w:id="61"/>
    <w:p>
      <w:pPr>
        <w:pStyle w:val="5"/>
        <w:bidi w:val="0"/>
        <w:rPr>
          <w:color w:val="auto"/>
        </w:rPr>
      </w:pPr>
      <w:r>
        <w:rPr>
          <w:color w:val="auto"/>
        </w:rPr>
        <w:t>3.</w:t>
      </w:r>
      <w:bookmarkStart w:id="63" w:name="_Hlk88321862"/>
      <w:r>
        <w:rPr>
          <w:rFonts w:hint="eastAsia"/>
          <w:color w:val="auto"/>
        </w:rPr>
        <w:t>加强</w:t>
      </w:r>
      <w:bookmarkStart w:id="64" w:name="_Hlk88837666"/>
      <w:r>
        <w:rPr>
          <w:rFonts w:hint="eastAsia"/>
          <w:color w:val="auto"/>
        </w:rPr>
        <w:t>已有治理工程的维护</w:t>
      </w:r>
      <w:bookmarkEnd w:id="63"/>
      <w:bookmarkEnd w:id="64"/>
    </w:p>
    <w:p>
      <w:pPr>
        <w:ind w:firstLine="640"/>
        <w:rPr>
          <w:color w:val="auto"/>
        </w:rPr>
      </w:pPr>
      <w:r>
        <w:rPr>
          <w:rFonts w:hint="eastAsia"/>
          <w:color w:val="auto"/>
        </w:rPr>
        <w:t>对于前期已实施的治理工程，普遍存在维护管理不善等原因，造成工程防御能力不足，遭遇特殊工况可能出现不同程度的损毁和失效，需要加强后期管理维护。</w:t>
      </w:r>
    </w:p>
    <w:p>
      <w:pPr>
        <w:pStyle w:val="4"/>
        <w:ind w:firstLine="640"/>
        <w:rPr>
          <w:color w:val="auto"/>
        </w:rPr>
      </w:pPr>
      <w:bookmarkStart w:id="65" w:name="_Toc32523"/>
      <w:bookmarkStart w:id="66" w:name="_Toc78495281"/>
      <w:r>
        <w:rPr>
          <w:rFonts w:hint="eastAsia"/>
          <w:color w:val="auto"/>
        </w:rPr>
        <w:t>（四）技术支撑</w:t>
      </w:r>
      <w:bookmarkEnd w:id="65"/>
      <w:bookmarkEnd w:id="66"/>
    </w:p>
    <w:p>
      <w:pPr>
        <w:ind w:firstLine="640"/>
        <w:rPr>
          <w:color w:val="auto"/>
        </w:rPr>
      </w:pPr>
      <w:r>
        <w:rPr>
          <w:color w:val="auto"/>
        </w:rPr>
        <w:t>完善</w:t>
      </w:r>
      <w:r>
        <w:rPr>
          <w:rFonts w:hint="eastAsia"/>
          <w:color w:val="auto"/>
        </w:rPr>
        <w:t>勐海县</w:t>
      </w:r>
      <w:r>
        <w:rPr>
          <w:color w:val="auto"/>
        </w:rPr>
        <w:t>地质灾害防治技术指导</w:t>
      </w:r>
      <w:r>
        <w:rPr>
          <w:rFonts w:hint="eastAsia"/>
          <w:color w:val="auto"/>
        </w:rPr>
        <w:t>站</w:t>
      </w:r>
      <w:r>
        <w:rPr>
          <w:color w:val="auto"/>
        </w:rPr>
        <w:t>建设，与</w:t>
      </w:r>
      <w:r>
        <w:rPr>
          <w:rFonts w:hint="eastAsia"/>
          <w:color w:val="auto"/>
        </w:rPr>
        <w:t>州</w:t>
      </w:r>
      <w:r>
        <w:rPr>
          <w:color w:val="auto"/>
        </w:rPr>
        <w:t>级地质灾害防治技术指导中心上下联动，协助</w:t>
      </w:r>
      <w:r>
        <w:rPr>
          <w:rFonts w:hint="eastAsia"/>
          <w:color w:val="auto"/>
        </w:rPr>
        <w:t>县</w:t>
      </w:r>
      <w:r>
        <w:rPr>
          <w:color w:val="auto"/>
        </w:rPr>
        <w:t>自然资源做好地质灾害汛期应急值班值守，</w:t>
      </w:r>
      <w:r>
        <w:rPr>
          <w:rFonts w:hint="eastAsia"/>
          <w:color w:val="auto"/>
        </w:rPr>
        <w:t>开展年度地质灾害三查，</w:t>
      </w:r>
      <w:r>
        <w:rPr>
          <w:color w:val="auto"/>
        </w:rPr>
        <w:t>做好地质灾害灾（险）情速报、日报、月报</w:t>
      </w:r>
      <w:r>
        <w:rPr>
          <w:rFonts w:hint="eastAsia"/>
          <w:color w:val="auto"/>
        </w:rPr>
        <w:t>等</w:t>
      </w:r>
      <w:r>
        <w:rPr>
          <w:color w:val="auto"/>
        </w:rPr>
        <w:t>报告工作，做好</w:t>
      </w:r>
      <w:r>
        <w:rPr>
          <w:rFonts w:hint="eastAsia"/>
          <w:color w:val="auto"/>
        </w:rPr>
        <w:t>“</w:t>
      </w:r>
      <w:r>
        <w:rPr>
          <w:color w:val="auto"/>
        </w:rPr>
        <w:t>云南省地质灾害管理信息系统</w:t>
      </w:r>
      <w:r>
        <w:rPr>
          <w:rFonts w:hint="eastAsia"/>
          <w:color w:val="auto"/>
        </w:rPr>
        <w:t>”</w:t>
      </w:r>
      <w:r>
        <w:rPr>
          <w:color w:val="auto"/>
        </w:rPr>
        <w:t>数据的更新维护管理。</w:t>
      </w:r>
    </w:p>
    <w:p>
      <w:pPr>
        <w:pStyle w:val="4"/>
        <w:ind w:firstLine="640"/>
        <w:rPr>
          <w:color w:val="auto"/>
        </w:rPr>
      </w:pPr>
      <w:bookmarkStart w:id="67" w:name="_Toc291666429"/>
      <w:bookmarkStart w:id="68" w:name="_Toc294530622"/>
      <w:bookmarkStart w:id="69" w:name="_Toc324710243"/>
      <w:bookmarkStart w:id="70" w:name="_Toc54077569"/>
      <w:bookmarkStart w:id="71" w:name="_Toc68683646"/>
      <w:bookmarkStart w:id="72" w:name="_Toc3393"/>
      <w:bookmarkStart w:id="73" w:name="_Toc78495282"/>
      <w:r>
        <w:rPr>
          <w:rFonts w:hint="eastAsia"/>
          <w:color w:val="auto"/>
        </w:rPr>
        <w:t>（五）地质灾害信息系统</w:t>
      </w:r>
      <w:bookmarkEnd w:id="67"/>
      <w:bookmarkEnd w:id="68"/>
      <w:bookmarkEnd w:id="69"/>
      <w:bookmarkEnd w:id="70"/>
      <w:bookmarkEnd w:id="71"/>
      <w:r>
        <w:rPr>
          <w:rFonts w:hint="eastAsia"/>
          <w:color w:val="auto"/>
        </w:rPr>
        <w:t>维护</w:t>
      </w:r>
      <w:bookmarkEnd w:id="72"/>
      <w:bookmarkEnd w:id="73"/>
    </w:p>
    <w:p>
      <w:pPr>
        <w:pStyle w:val="56"/>
        <w:spacing w:before="0" w:beforeAutospacing="0" w:after="0" w:afterAutospacing="0"/>
        <w:ind w:firstLine="640"/>
        <w:rPr>
          <w:rFonts w:ascii="Times New Roman" w:hAnsi="Times New Roman" w:cs="Times New Roman"/>
          <w:color w:val="auto"/>
        </w:rPr>
      </w:pPr>
      <w:r>
        <w:rPr>
          <w:rFonts w:ascii="Times New Roman" w:hAnsi="Times New Roman" w:cs="Times New Roman"/>
          <w:color w:val="auto"/>
        </w:rPr>
        <w:t>充分发挥云南省地质灾害防治管理信息系统以及地质灾害监测预警管理系统作用，实时更新系统数据，掌握地质灾害隐患点详细资料，实现省、州、县地质灾害隐患点的动态监管，便于对地质灾害提出预警,为政府部门提供有针对性的地质灾害安全隐患治理，同时预警预报系统能为用户组织抢险，疏散地质灾害影响区域人群赢得时间，减少事故伤亡和财产损失。</w:t>
      </w:r>
    </w:p>
    <w:p>
      <w:pPr>
        <w:pStyle w:val="4"/>
        <w:ind w:firstLine="640"/>
        <w:rPr>
          <w:color w:val="auto"/>
        </w:rPr>
      </w:pPr>
      <w:bookmarkStart w:id="74" w:name="_Toc16453"/>
      <w:bookmarkStart w:id="75" w:name="_Toc54077570"/>
      <w:bookmarkStart w:id="76" w:name="_Toc324710244"/>
      <w:bookmarkStart w:id="77" w:name="_Toc78495283"/>
      <w:bookmarkStart w:id="78" w:name="_Toc68683647"/>
      <w:r>
        <w:rPr>
          <w:rFonts w:hint="eastAsia"/>
          <w:color w:val="auto"/>
        </w:rPr>
        <w:t>（六）应急抢险系统建设</w:t>
      </w:r>
      <w:bookmarkEnd w:id="74"/>
      <w:bookmarkEnd w:id="75"/>
      <w:bookmarkEnd w:id="76"/>
      <w:bookmarkEnd w:id="77"/>
      <w:bookmarkEnd w:id="78"/>
    </w:p>
    <w:p>
      <w:pPr>
        <w:pStyle w:val="5"/>
        <w:ind w:firstLine="643"/>
        <w:rPr>
          <w:color w:val="auto"/>
        </w:rPr>
      </w:pPr>
      <w:r>
        <w:rPr>
          <w:rFonts w:hint="eastAsia"/>
          <w:color w:val="auto"/>
        </w:rPr>
        <w:t>1.</w:t>
      </w:r>
      <w:r>
        <w:rPr>
          <w:color w:val="auto"/>
        </w:rPr>
        <w:t>应急指挥</w:t>
      </w:r>
    </w:p>
    <w:p>
      <w:pPr>
        <w:ind w:firstLine="640"/>
        <w:rPr>
          <w:color w:val="auto"/>
          <w:szCs w:val="28"/>
        </w:rPr>
      </w:pPr>
      <w:r>
        <w:rPr>
          <w:rFonts w:hint="eastAsia"/>
          <w:color w:val="auto"/>
          <w:szCs w:val="28"/>
        </w:rPr>
        <w:t>勐海县</w:t>
      </w:r>
      <w:r>
        <w:rPr>
          <w:color w:val="auto"/>
          <w:szCs w:val="28"/>
        </w:rPr>
        <w:t>突发性地质灾害应急由</w:t>
      </w:r>
      <w:r>
        <w:rPr>
          <w:rFonts w:hint="eastAsia"/>
          <w:color w:val="auto"/>
          <w:szCs w:val="28"/>
        </w:rPr>
        <w:t>勐海县</w:t>
      </w:r>
      <w:r>
        <w:rPr>
          <w:color w:val="auto"/>
          <w:szCs w:val="28"/>
        </w:rPr>
        <w:t>地质灾害应急指挥部统一指挥，领导小组由分管副</w:t>
      </w:r>
      <w:r>
        <w:rPr>
          <w:rFonts w:hint="eastAsia"/>
          <w:color w:val="auto"/>
          <w:szCs w:val="28"/>
        </w:rPr>
        <w:t>县长</w:t>
      </w:r>
      <w:r>
        <w:rPr>
          <w:color w:val="auto"/>
          <w:szCs w:val="28"/>
        </w:rPr>
        <w:t>负责，</w:t>
      </w:r>
      <w:r>
        <w:rPr>
          <w:rFonts w:hint="eastAsia"/>
          <w:color w:val="auto"/>
          <w:szCs w:val="28"/>
        </w:rPr>
        <w:t>县</w:t>
      </w:r>
      <w:r>
        <w:rPr>
          <w:color w:val="auto"/>
          <w:szCs w:val="28"/>
        </w:rPr>
        <w:t>应急管理局、自然资源局、民政局、公安局、水务局、交通局、建设局、气象局、环保局等多个部门的相关负责同志组成，其职责是：接受上级领导关于地质灾害防灾救灾的各项指令；根据地质灾害灾情，启动相应级别地质灾害应急预案，部署组织各防灾救灾专业组实施救灾行动；汛期组织地质灾害防灾减灾工作，对地质灾害点的险情进行巡查；执行上级领导下达的其他任务。</w:t>
      </w:r>
    </w:p>
    <w:p>
      <w:pPr>
        <w:pStyle w:val="5"/>
        <w:ind w:firstLine="643"/>
        <w:rPr>
          <w:color w:val="auto"/>
        </w:rPr>
      </w:pPr>
      <w:r>
        <w:rPr>
          <w:rFonts w:hint="eastAsia"/>
          <w:color w:val="auto"/>
        </w:rPr>
        <w:t>2.</w:t>
      </w:r>
      <w:r>
        <w:rPr>
          <w:color w:val="auto"/>
        </w:rPr>
        <w:t>应急响应队伍</w:t>
      </w:r>
    </w:p>
    <w:p>
      <w:pPr>
        <w:ind w:firstLine="640"/>
        <w:rPr>
          <w:color w:val="auto"/>
          <w:szCs w:val="28"/>
        </w:rPr>
      </w:pPr>
      <w:r>
        <w:rPr>
          <w:color w:val="auto"/>
          <w:szCs w:val="28"/>
        </w:rPr>
        <w:t>地质灾害应急响应队伍由中央、省、</w:t>
      </w:r>
      <w:r>
        <w:rPr>
          <w:rFonts w:hint="eastAsia"/>
          <w:color w:val="auto"/>
          <w:szCs w:val="28"/>
          <w:lang w:eastAsia="zh-CN"/>
        </w:rPr>
        <w:t>县</w:t>
      </w:r>
      <w:r>
        <w:rPr>
          <w:color w:val="auto"/>
          <w:szCs w:val="28"/>
        </w:rPr>
        <w:t>地质环境监测院及相关高校、研究院所、省、州、县技术支撑单位等专业队伍和抢险救灾队伍组成。</w:t>
      </w:r>
      <w:r>
        <w:rPr>
          <w:rFonts w:hint="eastAsia"/>
          <w:color w:val="auto"/>
          <w:szCs w:val="28"/>
        </w:rPr>
        <w:t>发生灾害时，</w:t>
      </w:r>
      <w:r>
        <w:rPr>
          <w:color w:val="auto"/>
        </w:rPr>
        <w:t>充分发挥省厅驻</w:t>
      </w:r>
      <w:r>
        <w:rPr>
          <w:rFonts w:hint="eastAsia"/>
          <w:color w:val="auto"/>
          <w:szCs w:val="28"/>
        </w:rPr>
        <w:t>县</w:t>
      </w:r>
      <w:r>
        <w:rPr>
          <w:color w:val="auto"/>
        </w:rPr>
        <w:t>地质灾害防治指导站作用</w:t>
      </w:r>
      <w:r>
        <w:rPr>
          <w:color w:val="auto"/>
          <w:szCs w:val="28"/>
        </w:rPr>
        <w:t>，</w:t>
      </w:r>
      <w:r>
        <w:rPr>
          <w:rFonts w:hint="eastAsia"/>
          <w:color w:val="auto"/>
          <w:szCs w:val="28"/>
        </w:rPr>
        <w:t>第一时间调动</w:t>
      </w:r>
      <w:r>
        <w:rPr>
          <w:color w:val="auto"/>
          <w:szCs w:val="28"/>
        </w:rPr>
        <w:t>基层群众</w:t>
      </w:r>
      <w:r>
        <w:rPr>
          <w:rFonts w:hint="eastAsia"/>
          <w:color w:val="auto"/>
          <w:szCs w:val="28"/>
        </w:rPr>
        <w:t>及县</w:t>
      </w:r>
      <w:r>
        <w:rPr>
          <w:color w:val="auto"/>
          <w:szCs w:val="28"/>
        </w:rPr>
        <w:t>民兵</w:t>
      </w:r>
      <w:r>
        <w:rPr>
          <w:rFonts w:hint="eastAsia"/>
          <w:color w:val="auto"/>
          <w:szCs w:val="28"/>
        </w:rPr>
        <w:t>开展</w:t>
      </w:r>
      <w:r>
        <w:rPr>
          <w:color w:val="auto"/>
          <w:szCs w:val="28"/>
        </w:rPr>
        <w:t>抢险、自救</w:t>
      </w:r>
      <w:r>
        <w:rPr>
          <w:rFonts w:hint="eastAsia"/>
          <w:color w:val="auto"/>
          <w:szCs w:val="28"/>
        </w:rPr>
        <w:t>。</w:t>
      </w:r>
    </w:p>
    <w:p>
      <w:pPr>
        <w:pStyle w:val="5"/>
        <w:ind w:firstLine="643"/>
        <w:rPr>
          <w:color w:val="auto"/>
        </w:rPr>
      </w:pPr>
      <w:r>
        <w:rPr>
          <w:rFonts w:hint="eastAsia"/>
          <w:color w:val="auto"/>
        </w:rPr>
        <w:t>3.</w:t>
      </w:r>
      <w:r>
        <w:rPr>
          <w:color w:val="auto"/>
        </w:rPr>
        <w:t>应急处置程序</w:t>
      </w:r>
    </w:p>
    <w:p>
      <w:pPr>
        <w:ind w:firstLine="640"/>
        <w:rPr>
          <w:rFonts w:ascii="楷体" w:hAnsi="楷体" w:eastAsia="楷体"/>
          <w:b/>
          <w:bCs/>
          <w:color w:val="auto"/>
        </w:rPr>
      </w:pPr>
      <w:r>
        <w:rPr>
          <w:color w:val="auto"/>
        </w:rPr>
        <w:t>针对突发性的地质灾害事件，保证政府的应急决策在灾情判断、分析、速报、撤离、救援、应急治理等方面有序地进行</w:t>
      </w:r>
      <w:r>
        <w:rPr>
          <w:rFonts w:hint="eastAsia"/>
          <w:color w:val="auto"/>
        </w:rPr>
        <w:t>，全县完成</w:t>
      </w:r>
      <w:r>
        <w:rPr>
          <w:color w:val="auto"/>
        </w:rPr>
        <w:t>制定统一的应急处置程序</w:t>
      </w:r>
      <w:r>
        <w:rPr>
          <w:rFonts w:hint="eastAsia"/>
          <w:color w:val="auto"/>
        </w:rPr>
        <w:t>。</w:t>
      </w:r>
    </w:p>
    <w:p>
      <w:pPr>
        <w:pStyle w:val="5"/>
        <w:ind w:firstLine="643"/>
        <w:rPr>
          <w:color w:val="auto"/>
        </w:rPr>
      </w:pPr>
      <w:r>
        <w:rPr>
          <w:rFonts w:hint="eastAsia"/>
          <w:color w:val="auto"/>
        </w:rPr>
        <w:t>4.</w:t>
      </w:r>
      <w:r>
        <w:rPr>
          <w:color w:val="auto"/>
        </w:rPr>
        <w:t>应急设备</w:t>
      </w:r>
    </w:p>
    <w:p>
      <w:pPr>
        <w:ind w:firstLine="640"/>
        <w:rPr>
          <w:color w:val="auto"/>
          <w:szCs w:val="28"/>
        </w:rPr>
      </w:pPr>
      <w:r>
        <w:rPr>
          <w:color w:val="auto"/>
          <w:szCs w:val="28"/>
        </w:rPr>
        <w:t>应急设备包括应急硬件救灾平台和软件通信平台。</w:t>
      </w:r>
      <w:r>
        <w:rPr>
          <w:rFonts w:hint="eastAsia"/>
          <w:color w:val="auto"/>
          <w:szCs w:val="28"/>
        </w:rPr>
        <w:t>全县应根据本次全国自然灾害风险普查配置应急设备，并建立共享平台，保证灾害发生时可以第一时间调动应急设备。县自然资源局</w:t>
      </w:r>
      <w:r>
        <w:rPr>
          <w:color w:val="auto"/>
          <w:szCs w:val="28"/>
        </w:rPr>
        <w:t>充分利用现有软件通信平台以及监测预警系统，按需增加软件平台所需的专用传输服务器、存储服务器、大屏幕会商设备、投影设备等设备以及内部局域网、外部局域网和野外现场应急通讯设备等</w:t>
      </w:r>
      <w:r>
        <w:rPr>
          <w:rFonts w:hint="eastAsia"/>
          <w:color w:val="auto"/>
          <w:szCs w:val="28"/>
        </w:rPr>
        <w:t>，并及时更新维护</w:t>
      </w:r>
      <w:r>
        <w:rPr>
          <w:color w:val="auto"/>
          <w:szCs w:val="28"/>
        </w:rPr>
        <w:t>。</w:t>
      </w:r>
    </w:p>
    <w:p>
      <w:pPr>
        <w:pStyle w:val="5"/>
        <w:ind w:firstLine="643"/>
        <w:rPr>
          <w:color w:val="auto"/>
        </w:rPr>
      </w:pPr>
      <w:r>
        <w:rPr>
          <w:rFonts w:hint="eastAsia"/>
          <w:color w:val="auto"/>
        </w:rPr>
        <w:t>5.</w:t>
      </w:r>
      <w:r>
        <w:rPr>
          <w:color w:val="auto"/>
        </w:rPr>
        <w:t>应急物资保障</w:t>
      </w:r>
    </w:p>
    <w:p>
      <w:pPr>
        <w:ind w:firstLine="640"/>
        <w:rPr>
          <w:color w:val="auto"/>
          <w:szCs w:val="28"/>
          <w:highlight w:val="yellow"/>
        </w:rPr>
      </w:pPr>
      <w:r>
        <w:rPr>
          <w:color w:val="auto"/>
          <w:szCs w:val="28"/>
        </w:rPr>
        <w:t>进一步完善地质灾害应急物资储备管理体系，合理确定储备物资的种类和数量，充分发挥现有救灾物资储备库的作用，科学确定物资储备转运场所。建立地质灾害应急运输绿色通道，确保救灾人员、物资、设备能第一时间到达现场。加强电力、通信保障，配备发电车、抢修塔等必要设备保障电力和通信正常</w:t>
      </w:r>
      <w:r>
        <w:rPr>
          <w:color w:val="auto"/>
          <w:szCs w:val="28"/>
          <w:highlight w:val="none"/>
        </w:rPr>
        <w:t>。</w:t>
      </w:r>
      <w:r>
        <w:rPr>
          <w:color w:val="auto"/>
          <w:highlight w:val="none"/>
        </w:rPr>
        <w:t>在规划期内</w:t>
      </w:r>
      <w:r>
        <w:rPr>
          <w:color w:val="auto"/>
          <w:szCs w:val="28"/>
          <w:highlight w:val="none"/>
        </w:rPr>
        <w:t>，</w:t>
      </w:r>
      <w:r>
        <w:rPr>
          <w:rFonts w:hint="eastAsia"/>
          <w:color w:val="auto"/>
          <w:szCs w:val="28"/>
          <w:highlight w:val="none"/>
        </w:rPr>
        <w:t>应急、财政、粮食与物资储备局、自然资源局共同协商研究</w:t>
      </w:r>
      <w:r>
        <w:rPr>
          <w:color w:val="auto"/>
          <w:szCs w:val="28"/>
          <w:highlight w:val="none"/>
        </w:rPr>
        <w:t>，制定应急物资保障办法，确保物资的有效保障。</w:t>
      </w:r>
    </w:p>
    <w:p>
      <w:pPr>
        <w:pStyle w:val="5"/>
        <w:ind w:firstLine="643"/>
        <w:rPr>
          <w:color w:val="auto"/>
        </w:rPr>
      </w:pPr>
      <w:r>
        <w:rPr>
          <w:rFonts w:hint="eastAsia"/>
          <w:color w:val="auto"/>
        </w:rPr>
        <w:t>6.</w:t>
      </w:r>
      <w:r>
        <w:rPr>
          <w:color w:val="auto"/>
        </w:rPr>
        <w:t>应急工程</w:t>
      </w:r>
    </w:p>
    <w:p>
      <w:pPr>
        <w:ind w:firstLine="640"/>
        <w:rPr>
          <w:color w:val="auto"/>
          <w:szCs w:val="28"/>
        </w:rPr>
      </w:pPr>
      <w:r>
        <w:rPr>
          <w:color w:val="auto"/>
          <w:szCs w:val="28"/>
        </w:rPr>
        <w:t>灾害发生后，存在继续加剧现象并对受灾对象存在较大安全隐患</w:t>
      </w:r>
      <w:r>
        <w:rPr>
          <w:rFonts w:hint="eastAsia"/>
          <w:color w:val="auto"/>
          <w:szCs w:val="28"/>
        </w:rPr>
        <w:t>的灾害点</w:t>
      </w:r>
      <w:r>
        <w:rPr>
          <w:color w:val="auto"/>
          <w:szCs w:val="28"/>
        </w:rPr>
        <w:t>，通过应急工程可达到减缓作用或争取救灾时间，实现减小灾害损失的目的。应急工程具有程序简化、实施迅速、临时缓冲的特性，属临时性应急处置措施。</w:t>
      </w:r>
    </w:p>
    <w:p>
      <w:pPr>
        <w:pStyle w:val="4"/>
        <w:ind w:firstLine="640"/>
        <w:rPr>
          <w:color w:val="auto"/>
        </w:rPr>
      </w:pPr>
      <w:bookmarkStart w:id="79" w:name="_Toc22515"/>
      <w:bookmarkStart w:id="80" w:name="_Toc78495284"/>
      <w:r>
        <w:rPr>
          <w:rFonts w:hint="eastAsia"/>
          <w:color w:val="auto"/>
        </w:rPr>
        <w:t>（七）管理体系建设</w:t>
      </w:r>
      <w:bookmarkEnd w:id="79"/>
      <w:bookmarkEnd w:id="80"/>
    </w:p>
    <w:p>
      <w:pPr>
        <w:ind w:firstLine="640"/>
        <w:rPr>
          <w:color w:val="auto"/>
        </w:rPr>
      </w:pPr>
      <w:r>
        <w:rPr>
          <w:color w:val="auto"/>
        </w:rPr>
        <w:t>要深入贯彻落实习近平总书记防灾减灾救灾新理念，坚持以人为本、服务民生、不断创新体制机制，着力解决突出问题、推动防灾减灾工作从侧重技术管理向侧重社会管理、从侧重微观管理向侧重宏观管理转变，全面提升灾害防治水平。完善灾害应急能力建设机制、完善防灾减灾工作机制、做好灾情监测预报、完善社会动员机制。</w:t>
      </w:r>
    </w:p>
    <w:p>
      <w:pPr>
        <w:ind w:firstLine="640"/>
        <w:rPr>
          <w:color w:val="auto"/>
        </w:rPr>
      </w:pPr>
      <w:r>
        <w:rPr>
          <w:color w:val="auto"/>
        </w:rPr>
        <w:t>在</w:t>
      </w:r>
      <w:r>
        <w:rPr>
          <w:rFonts w:hint="eastAsia"/>
          <w:color w:val="auto"/>
        </w:rPr>
        <w:t>县</w:t>
      </w:r>
      <w:r>
        <w:rPr>
          <w:color w:val="auto"/>
        </w:rPr>
        <w:t>委、</w:t>
      </w:r>
      <w:r>
        <w:rPr>
          <w:rFonts w:hint="eastAsia"/>
          <w:color w:val="auto"/>
        </w:rPr>
        <w:t>县</w:t>
      </w:r>
      <w:r>
        <w:rPr>
          <w:color w:val="auto"/>
        </w:rPr>
        <w:t>政府统一领导下，</w:t>
      </w:r>
      <w:r>
        <w:rPr>
          <w:rFonts w:hint="eastAsia"/>
          <w:color w:val="auto"/>
        </w:rPr>
        <w:t>县</w:t>
      </w:r>
      <w:r>
        <w:rPr>
          <w:color w:val="auto"/>
        </w:rPr>
        <w:t>级各有关单位、部门按照年度地质灾害防治方案要求密切配合，</w:t>
      </w:r>
      <w:r>
        <w:rPr>
          <w:rFonts w:hint="eastAsia"/>
          <w:color w:val="auto"/>
        </w:rPr>
        <w:t>县</w:t>
      </w:r>
      <w:r>
        <w:rPr>
          <w:color w:val="auto"/>
        </w:rPr>
        <w:t>实行行政分管领导、乡（镇、街道办）实行行政</w:t>
      </w:r>
      <w:r>
        <w:rPr>
          <w:rFonts w:hint="eastAsia"/>
          <w:color w:val="auto"/>
        </w:rPr>
        <w:t>“</w:t>
      </w:r>
      <w:r>
        <w:rPr>
          <w:color w:val="auto"/>
        </w:rPr>
        <w:t>一把手</w:t>
      </w:r>
      <w:r>
        <w:rPr>
          <w:rFonts w:hint="eastAsia"/>
          <w:color w:val="auto"/>
        </w:rPr>
        <w:t>”</w:t>
      </w:r>
      <w:r>
        <w:rPr>
          <w:color w:val="auto"/>
        </w:rPr>
        <w:t>负责制，逐级建立责任制，确保防治责任和措施层层落到实处。地质灾害每年汛前开展研判，针对各县灾害风险提出相应防治措施及重点防治区域，县按照部署要求加强监测员培训，与气象部门加强沟通，充分发挥群专结合作用，监测员监测设备以及专业检测设备不断更新。</w:t>
      </w:r>
    </w:p>
    <w:p>
      <w:pPr>
        <w:pStyle w:val="4"/>
        <w:ind w:firstLine="640"/>
        <w:rPr>
          <w:color w:val="auto"/>
        </w:rPr>
      </w:pPr>
      <w:bookmarkStart w:id="81" w:name="_Toc78495285"/>
      <w:bookmarkStart w:id="82" w:name="_Toc24997"/>
      <w:r>
        <w:rPr>
          <w:rFonts w:hint="eastAsia"/>
          <w:color w:val="auto"/>
        </w:rPr>
        <w:t>（八）地质灾害宣传培训与演练</w:t>
      </w:r>
      <w:bookmarkEnd w:id="81"/>
      <w:bookmarkEnd w:id="82"/>
    </w:p>
    <w:p>
      <w:pPr>
        <w:ind w:firstLine="640"/>
        <w:rPr>
          <w:color w:val="auto"/>
        </w:rPr>
      </w:pPr>
      <w:r>
        <w:rPr>
          <w:color w:val="auto"/>
        </w:rPr>
        <w:t>在专业技术人员的指导下，积极做好本辖区内基层领导干部以及监测人员的培训工作，以提高地质灾害防治队伍的业务素质，逐步实现培训工作的制度化和经常化。</w:t>
      </w:r>
    </w:p>
    <w:p>
      <w:pPr>
        <w:pStyle w:val="5"/>
        <w:ind w:firstLine="643"/>
        <w:rPr>
          <w:color w:val="auto"/>
        </w:rPr>
      </w:pPr>
      <w:r>
        <w:rPr>
          <w:rFonts w:hint="eastAsia"/>
          <w:color w:val="auto"/>
        </w:rPr>
        <w:t>1.</w:t>
      </w:r>
      <w:r>
        <w:rPr>
          <w:color w:val="auto"/>
        </w:rPr>
        <w:t>科普宣传</w:t>
      </w:r>
    </w:p>
    <w:p>
      <w:pPr>
        <w:ind w:firstLine="640"/>
        <w:rPr>
          <w:color w:val="auto"/>
        </w:rPr>
      </w:pPr>
      <w:r>
        <w:rPr>
          <w:color w:val="auto"/>
        </w:rPr>
        <w:t>科普宣传是地质灾害防治的重要手段，是今后需要长期坚持的基本方略。充分利用电视、广播、板报、标语或农闲、赶集、土地宣传日等时机，采取多种手段大力开展地质灾害科普宣传。加强《地质灾害防治条例》、《云南省地质环境管理条例》、《地质灾害防治管理办法》、《云南省地质灾害处置规定》等法律法规以及地质灾害防治、环境保护、安全生产等科普知识宣传教育力度，逐级组织从事地质灾害防治工作人员和灾害点监测人员、受灾群众、地质灾害中高易发区群众开展地质灾害及有关防治知识的宣传与培训，不断增强人民群众防灾意识，让人民群众知灾、识灾、防灾，提高避灾、自救、互救能力，为发挥基层干部群众能动性，因地制宜，主动防灾，及时避灾，最大限度降低灾害损失奠定良好的思想、舆论和群众基础。积极主动联系地勘专家深入实际，制定适合</w:t>
      </w:r>
      <w:r>
        <w:rPr>
          <w:rFonts w:hint="eastAsia"/>
          <w:color w:val="auto"/>
        </w:rPr>
        <w:t>全县</w:t>
      </w:r>
      <w:r>
        <w:rPr>
          <w:color w:val="auto"/>
        </w:rPr>
        <w:t>地质灾害防治的宣传资料。</w:t>
      </w:r>
    </w:p>
    <w:p>
      <w:pPr>
        <w:pStyle w:val="5"/>
        <w:ind w:firstLine="643"/>
        <w:rPr>
          <w:color w:val="auto"/>
        </w:rPr>
      </w:pPr>
      <w:r>
        <w:rPr>
          <w:rFonts w:hint="eastAsia"/>
          <w:color w:val="auto"/>
        </w:rPr>
        <w:t>2.</w:t>
      </w:r>
      <w:r>
        <w:rPr>
          <w:color w:val="auto"/>
        </w:rPr>
        <w:t>防灾减灾知识培训</w:t>
      </w:r>
    </w:p>
    <w:p>
      <w:pPr>
        <w:ind w:firstLine="640"/>
        <w:rPr>
          <w:color w:val="auto"/>
        </w:rPr>
      </w:pPr>
      <w:r>
        <w:rPr>
          <w:rFonts w:hint="eastAsia"/>
          <w:color w:val="auto"/>
        </w:rPr>
        <w:t>县</w:t>
      </w:r>
      <w:r>
        <w:rPr>
          <w:color w:val="auto"/>
        </w:rPr>
        <w:t>自然资源主管部门应抓好应急队伍建设和人员落实，定期对相关机构和人员进行应急处理知识、技能的培训</w:t>
      </w:r>
      <w:r>
        <w:rPr>
          <w:rFonts w:hint="eastAsia"/>
          <w:color w:val="auto"/>
        </w:rPr>
        <w:t>，开展</w:t>
      </w:r>
      <w:r>
        <w:rPr>
          <w:color w:val="auto"/>
        </w:rPr>
        <w:t>应急处理演练，提高应对突发性地质灾害的能力。对地质灾害群测群防人员和管理干部进行培训，未参加过培训的人员不能参加群测群防工作；培训方式上可以举办培训班，也可以在灾点现场以老带新。监测人应知辖区内隐患点情况和威胁范围、应知群众避险场所和转移路线、应知险情灾情报告程序和办法、应知灾点监测时间和次数，应会识别地灾发生前兆、应会使用简易监测仪器和监测方法、应会对监测数据记录分析和初步判断、应会指导防灾和应急处置、灾害前兆特征、简易监测方法和监测仪器使用、预警预报方式、紧急疏散的组织等知识的培训。</w:t>
      </w:r>
    </w:p>
    <w:p>
      <w:pPr>
        <w:pStyle w:val="5"/>
        <w:ind w:firstLine="643"/>
        <w:rPr>
          <w:color w:val="auto"/>
        </w:rPr>
      </w:pPr>
      <w:r>
        <w:rPr>
          <w:rFonts w:hint="eastAsia"/>
          <w:color w:val="auto"/>
        </w:rPr>
        <w:t>3.</w:t>
      </w:r>
      <w:r>
        <w:rPr>
          <w:color w:val="auto"/>
        </w:rPr>
        <w:t>应急演练</w:t>
      </w:r>
    </w:p>
    <w:p>
      <w:pPr>
        <w:ind w:firstLine="640"/>
        <w:rPr>
          <w:color w:val="auto"/>
        </w:rPr>
      </w:pPr>
      <w:r>
        <w:rPr>
          <w:color w:val="auto"/>
        </w:rPr>
        <w:t>加强受威胁群众重点参与的地质灾害应急演练。2021-2025年，在不同地质灾害隐患点每年开展应急演练一次，由县人民政府组织，州政府根据实际情况组织人员指导，检验各县级地质灾害应急反应能力，提高应急救灾水平。要根据地质灾害隐患威胁对象确定应急演练规模，不走形式，务求实效，以普遍提高公众减灾防灾意识和应急避险能力。</w:t>
      </w:r>
    </w:p>
    <w:p>
      <w:pPr>
        <w:pStyle w:val="4"/>
        <w:ind w:firstLine="640"/>
        <w:rPr>
          <w:rFonts w:cs="Times New Roman"/>
          <w:color w:val="auto"/>
        </w:rPr>
      </w:pPr>
      <w:bookmarkStart w:id="83" w:name="_Toc78495286"/>
      <w:r>
        <w:rPr>
          <w:rFonts w:hint="eastAsia" w:cs="Times New Roman"/>
          <w:color w:val="auto"/>
        </w:rPr>
        <w:t>（九）</w:t>
      </w:r>
      <w:r>
        <w:rPr>
          <w:rFonts w:cs="Times New Roman"/>
          <w:color w:val="auto"/>
        </w:rPr>
        <w:t>地质灾害防治法制化建设</w:t>
      </w:r>
      <w:bookmarkEnd w:id="83"/>
    </w:p>
    <w:p>
      <w:pPr>
        <w:bidi w:val="0"/>
        <w:rPr>
          <w:rFonts w:hint="eastAsia"/>
          <w:color w:val="auto"/>
          <w:lang w:val="en-US" w:eastAsia="zh-CN"/>
        </w:rPr>
      </w:pPr>
      <w:r>
        <w:rPr>
          <w:color w:val="auto"/>
        </w:rPr>
        <w:t>针对</w:t>
      </w:r>
      <w:r>
        <w:rPr>
          <w:rFonts w:hint="eastAsia"/>
          <w:color w:val="auto"/>
        </w:rPr>
        <w:t>“十四五”</w:t>
      </w:r>
      <w:r>
        <w:rPr>
          <w:color w:val="auto"/>
        </w:rPr>
        <w:t>期间，需加强现状地质灾害及新发地质灾害的管理，依托州级专家库开展中小型地质灾害勘察设计评审以及施工验收等工作；根据</w:t>
      </w:r>
      <w:r>
        <w:rPr>
          <w:rFonts w:hint="eastAsia"/>
          <w:color w:val="auto"/>
        </w:rPr>
        <w:t>县域内</w:t>
      </w:r>
      <w:r>
        <w:rPr>
          <w:color w:val="auto"/>
        </w:rPr>
        <w:t>地质灾害发育情况以及财政情况，制定地质灾害防治资金管理办法，使地质灾害防治资金更加科学、合理和有效使用；同时，制定地质灾害隐患点增加与核销管理办法，研究地质灾害隐患点影响区工程建设控制管理与地质灾害中高易发区建设项目管理等，不断落实地质灾害的管控措施与要求，实现地质灾害防治管理与国土空间规划相衔接</w:t>
      </w:r>
      <w:r>
        <w:rPr>
          <w:rFonts w:hint="eastAsia"/>
          <w:color w:val="auto"/>
          <w:lang w:eastAsia="zh-CN"/>
        </w:rPr>
        <w:t>。</w:t>
      </w:r>
    </w:p>
    <w:p>
      <w:pPr>
        <w:pStyle w:val="3"/>
        <w:numPr>
          <w:ilvl w:val="0"/>
          <w:numId w:val="0"/>
        </w:numPr>
        <w:ind w:left="640" w:leftChars="200"/>
        <w:rPr>
          <w:color w:val="auto"/>
        </w:rPr>
      </w:pPr>
      <w:bookmarkStart w:id="84" w:name="_Toc27019"/>
      <w:r>
        <w:rPr>
          <w:rFonts w:hint="eastAsia"/>
          <w:color w:val="auto"/>
        </w:rPr>
        <w:t>六、经费概算</w:t>
      </w:r>
      <w:bookmarkEnd w:id="84"/>
    </w:p>
    <w:p>
      <w:pPr>
        <w:ind w:firstLine="640"/>
        <w:rPr>
          <w:color w:val="auto"/>
          <w:highlight w:val="none"/>
        </w:rPr>
      </w:pPr>
      <w:r>
        <w:rPr>
          <w:color w:val="auto"/>
          <w:highlight w:val="none"/>
        </w:rPr>
        <w:t>经匡算，</w:t>
      </w:r>
      <w:r>
        <w:rPr>
          <w:rFonts w:hint="eastAsia"/>
          <w:color w:val="auto"/>
          <w:highlight w:val="none"/>
        </w:rPr>
        <w:t>勐海县规划投入</w:t>
      </w:r>
      <w:r>
        <w:rPr>
          <w:color w:val="auto"/>
          <w:highlight w:val="none"/>
        </w:rPr>
        <w:t>地质灾害</w:t>
      </w:r>
      <w:r>
        <w:rPr>
          <w:rFonts w:hint="eastAsia"/>
          <w:color w:val="auto"/>
          <w:highlight w:val="none"/>
        </w:rPr>
        <w:t>的</w:t>
      </w:r>
      <w:r>
        <w:rPr>
          <w:color w:val="auto"/>
          <w:highlight w:val="none"/>
        </w:rPr>
        <w:t>防治专项经费</w:t>
      </w:r>
      <w:r>
        <w:rPr>
          <w:rFonts w:hint="eastAsia" w:ascii="Times New Roman" w:hAnsi="Times New Roman" w:cs="Times New Roman"/>
          <w:color w:val="auto"/>
          <w:szCs w:val="28"/>
          <w:highlight w:val="none"/>
        </w:rPr>
        <w:t>58</w:t>
      </w:r>
      <w:r>
        <w:rPr>
          <w:rFonts w:hint="eastAsia" w:ascii="Times New Roman" w:hAnsi="Times New Roman" w:cs="Times New Roman"/>
          <w:color w:val="auto"/>
          <w:szCs w:val="28"/>
          <w:highlight w:val="none"/>
          <w:lang w:val="en-US" w:eastAsia="zh-CN"/>
        </w:rPr>
        <w:t>5</w:t>
      </w:r>
      <w:r>
        <w:rPr>
          <w:rFonts w:hint="eastAsia" w:ascii="Times New Roman" w:hAnsi="Times New Roman" w:cs="Times New Roman"/>
          <w:color w:val="auto"/>
          <w:szCs w:val="28"/>
          <w:highlight w:val="none"/>
        </w:rPr>
        <w:t>3.33</w:t>
      </w:r>
      <w:r>
        <w:rPr>
          <w:color w:val="auto"/>
          <w:highlight w:val="none"/>
        </w:rPr>
        <w:t>万元。</w:t>
      </w:r>
    </w:p>
    <w:p>
      <w:pPr>
        <w:ind w:firstLine="640"/>
        <w:rPr>
          <w:rFonts w:cs="Times New Roman"/>
          <w:color w:val="auto"/>
          <w:szCs w:val="22"/>
          <w:highlight w:val="none"/>
        </w:rPr>
      </w:pPr>
      <w:r>
        <w:rPr>
          <w:rFonts w:cs="Times New Roman"/>
          <w:color w:val="auto"/>
          <w:szCs w:val="22"/>
          <w:highlight w:val="none"/>
        </w:rPr>
        <w:t>防治资金主要来源为省、州、县（市）资金组成，</w:t>
      </w:r>
      <w:r>
        <w:rPr>
          <w:rFonts w:hint="eastAsia" w:cs="Times New Roman"/>
          <w:color w:val="auto"/>
          <w:szCs w:val="22"/>
          <w:highlight w:val="none"/>
        </w:rPr>
        <w:t>其中，有文件支撑的明确资金来源的有</w:t>
      </w:r>
      <w:r>
        <w:rPr>
          <w:rFonts w:hint="eastAsia" w:ascii="Times New Roman" w:hAnsi="Times New Roman" w:cs="Times New Roman"/>
          <w:color w:val="auto"/>
          <w:szCs w:val="28"/>
          <w:highlight w:val="none"/>
        </w:rPr>
        <w:t>1：5</w:t>
      </w:r>
      <w:r>
        <w:rPr>
          <w:rFonts w:hint="eastAsia" w:cs="Times New Roman"/>
          <w:color w:val="auto"/>
          <w:szCs w:val="22"/>
          <w:highlight w:val="none"/>
        </w:rPr>
        <w:t>万风险普查、群测群防、专业监测、技术支撑、规划编制，省级资金</w:t>
      </w:r>
      <w:r>
        <w:rPr>
          <w:rFonts w:hint="eastAsia" w:ascii="Times New Roman" w:hAnsi="Times New Roman" w:cs="Times New Roman"/>
          <w:color w:val="auto"/>
          <w:szCs w:val="28"/>
          <w:highlight w:val="none"/>
        </w:rPr>
        <w:t>3</w:t>
      </w:r>
      <w:r>
        <w:rPr>
          <w:rFonts w:hint="eastAsia" w:ascii="Times New Roman" w:hAnsi="Times New Roman" w:cs="Times New Roman"/>
          <w:color w:val="auto"/>
          <w:szCs w:val="28"/>
          <w:highlight w:val="none"/>
          <w:lang w:val="en-US" w:eastAsia="zh-CN"/>
        </w:rPr>
        <w:t>4</w:t>
      </w:r>
      <w:r>
        <w:rPr>
          <w:rFonts w:hint="eastAsia" w:ascii="Times New Roman" w:hAnsi="Times New Roman" w:cs="Times New Roman"/>
          <w:color w:val="auto"/>
          <w:szCs w:val="28"/>
          <w:highlight w:val="none"/>
        </w:rPr>
        <w:t>3.8</w:t>
      </w:r>
      <w:r>
        <w:rPr>
          <w:rFonts w:hint="eastAsia" w:cs="Times New Roman"/>
          <w:color w:val="auto"/>
          <w:szCs w:val="22"/>
          <w:highlight w:val="none"/>
        </w:rPr>
        <w:t>万元，州县级资金</w:t>
      </w:r>
      <w:r>
        <w:rPr>
          <w:rFonts w:hint="eastAsia" w:ascii="Times New Roman" w:hAnsi="Times New Roman" w:cs="Times New Roman"/>
          <w:color w:val="auto"/>
          <w:szCs w:val="28"/>
          <w:highlight w:val="none"/>
        </w:rPr>
        <w:t>185.2</w:t>
      </w:r>
      <w:r>
        <w:rPr>
          <w:rFonts w:hint="eastAsia" w:cs="Times New Roman"/>
          <w:color w:val="auto"/>
          <w:szCs w:val="22"/>
          <w:highlight w:val="none"/>
        </w:rPr>
        <w:t>万元。为省与省以下共同财政事权，由省与省以下共同承担支出责任，但未明确筹措资金比例的为</w:t>
      </w:r>
      <w:r>
        <w:rPr>
          <w:rFonts w:hint="eastAsia" w:ascii="Times New Roman" w:hAnsi="Times New Roman" w:cs="Times New Roman"/>
          <w:color w:val="auto"/>
          <w:szCs w:val="28"/>
          <w:highlight w:val="none"/>
          <w:lang w:val="en-US" w:eastAsia="zh-CN"/>
        </w:rPr>
        <w:t>5324.33</w:t>
      </w:r>
      <w:r>
        <w:rPr>
          <w:rFonts w:hint="eastAsia" w:cs="Times New Roman"/>
          <w:color w:val="auto"/>
          <w:szCs w:val="22"/>
          <w:highlight w:val="none"/>
        </w:rPr>
        <w:t>万元（详见附表</w:t>
      </w:r>
      <w:r>
        <w:rPr>
          <w:rFonts w:hint="eastAsia" w:ascii="Times New Roman" w:hAnsi="Times New Roman" w:cs="Times New Roman"/>
          <w:color w:val="auto"/>
          <w:szCs w:val="28"/>
          <w:highlight w:val="none"/>
          <w:lang w:val="en-US" w:eastAsia="zh-CN"/>
        </w:rPr>
        <w:t>7</w:t>
      </w:r>
      <w:r>
        <w:rPr>
          <w:rFonts w:hint="eastAsia" w:cs="Times New Roman"/>
          <w:color w:val="auto"/>
          <w:szCs w:val="22"/>
          <w:highlight w:val="none"/>
        </w:rPr>
        <w:t>）。</w:t>
      </w:r>
      <w:bookmarkStart w:id="85" w:name="_Hlk76736853"/>
    </w:p>
    <w:bookmarkEnd w:id="85"/>
    <w:p>
      <w:pPr>
        <w:pStyle w:val="3"/>
        <w:numPr>
          <w:ilvl w:val="0"/>
          <w:numId w:val="0"/>
        </w:numPr>
        <w:ind w:left="640" w:leftChars="200"/>
        <w:rPr>
          <w:color w:val="auto"/>
        </w:rPr>
      </w:pPr>
      <w:bookmarkStart w:id="86" w:name="_Toc23894"/>
      <w:bookmarkStart w:id="87" w:name="_Toc8097"/>
      <w:r>
        <w:rPr>
          <w:rFonts w:hint="eastAsia"/>
          <w:color w:val="auto"/>
        </w:rPr>
        <w:t>七 、防治效益</w:t>
      </w:r>
      <w:bookmarkEnd w:id="86"/>
      <w:bookmarkEnd w:id="87"/>
    </w:p>
    <w:p>
      <w:pPr>
        <w:ind w:firstLine="640"/>
        <w:rPr>
          <w:color w:val="auto"/>
        </w:rPr>
      </w:pPr>
      <w:r>
        <w:rPr>
          <w:rFonts w:hint="eastAsia"/>
          <w:color w:val="auto"/>
        </w:rPr>
        <w:t>通过实施地质灾害防治规划后，勐海县地质灾害危害将得到有效控制（具体的防灾减灾目标人数以及比例，保护资产内容），生态环境将有明显改善，可保护勐海县各乡（镇）地质灾害所威胁的人民生命和财产安全，为勐海县建设和经济发展创造良好条件，使广大人民群众能摆脱地质灾害带来的困扰，极大地促进了社会稳定，改善或保护全县地质生态环境。</w:t>
      </w:r>
    </w:p>
    <w:p>
      <w:pPr>
        <w:ind w:firstLine="640"/>
        <w:rPr>
          <w:color w:val="auto"/>
        </w:rPr>
      </w:pPr>
      <w:r>
        <w:rPr>
          <w:rFonts w:hint="eastAsia"/>
          <w:color w:val="auto"/>
        </w:rPr>
        <w:t>勐海县地质灾害综合治理所产生的效益不具有排它性，受益者是整个勐海县人民。防治工程效益主要体现的是社会的公众利益，分别体现在社会生产、生活环境下的社会效益、经济效益及生态效益。</w:t>
      </w:r>
    </w:p>
    <w:p>
      <w:pPr>
        <w:pStyle w:val="4"/>
        <w:ind w:firstLine="640"/>
        <w:rPr>
          <w:color w:val="auto"/>
        </w:rPr>
      </w:pPr>
      <w:bookmarkStart w:id="88" w:name="_Toc76480641"/>
      <w:bookmarkStart w:id="89" w:name="_Toc12337"/>
      <w:bookmarkStart w:id="90" w:name="_Toc15243"/>
      <w:r>
        <w:rPr>
          <w:rFonts w:hint="eastAsia"/>
          <w:color w:val="auto"/>
        </w:rPr>
        <w:t>（一）社会效益</w:t>
      </w:r>
      <w:bookmarkEnd w:id="88"/>
      <w:bookmarkEnd w:id="89"/>
      <w:bookmarkEnd w:id="90"/>
    </w:p>
    <w:p>
      <w:pPr>
        <w:ind w:firstLine="640"/>
        <w:rPr>
          <w:color w:val="auto"/>
        </w:rPr>
      </w:pPr>
      <w:r>
        <w:rPr>
          <w:rFonts w:hint="eastAsia"/>
          <w:color w:val="auto"/>
        </w:rPr>
        <w:t>通过《规划》的全面贯彻实施，可有效防灾、减灾，保护人民生命财产安全，维护社会稳定，保障经济社会和谐发展。同时也是受地质灾害威胁区人民的迫切希望和要求，以达到长治久安、安居乐业的目的。地质灾害治理不仅会改变勐海县人民的生产、生活条件，同时也为勐海县社会生存环境提供保障，对边远少数民族山区农村的社会发展起到促进作用，满足勐海县城市化进程不断加速的需要。</w:t>
      </w:r>
    </w:p>
    <w:p>
      <w:pPr>
        <w:ind w:firstLine="640"/>
        <w:rPr>
          <w:color w:val="auto"/>
        </w:rPr>
      </w:pPr>
      <w:r>
        <w:rPr>
          <w:rFonts w:hint="eastAsia"/>
          <w:color w:val="auto"/>
        </w:rPr>
        <w:t>规划期间，建立专业化监测网和群策群防网络的监测预警体系，使全社会参与地质灾害防治，可大大减少灾害损失。尤其地质灾害气象预报预警可使预警目标区的群众及时做好灾前应急的临灾防范，有助于避免群死群伤，维护社会稳定，为建立和谐社会提供保障。</w:t>
      </w:r>
    </w:p>
    <w:p>
      <w:pPr>
        <w:pStyle w:val="4"/>
        <w:ind w:firstLine="640"/>
        <w:rPr>
          <w:color w:val="auto"/>
        </w:rPr>
      </w:pPr>
      <w:bookmarkStart w:id="91" w:name="_Toc31709"/>
      <w:bookmarkStart w:id="92" w:name="_Toc31455"/>
      <w:bookmarkStart w:id="93" w:name="_Toc76480642"/>
      <w:r>
        <w:rPr>
          <w:rFonts w:hint="eastAsia"/>
          <w:color w:val="auto"/>
        </w:rPr>
        <w:t>（二）经济效益</w:t>
      </w:r>
      <w:bookmarkEnd w:id="91"/>
      <w:bookmarkEnd w:id="92"/>
      <w:bookmarkEnd w:id="93"/>
    </w:p>
    <w:p>
      <w:pPr>
        <w:ind w:firstLine="640"/>
        <w:rPr>
          <w:color w:val="auto"/>
        </w:rPr>
      </w:pPr>
      <w:r>
        <w:rPr>
          <w:rFonts w:hint="eastAsia"/>
          <w:color w:val="auto"/>
        </w:rPr>
        <w:t>通过《规划》的全面贯彻实施，最大限度地减轻自然因素或避免人为因素引发地质灾害所造成的人员伤亡和经济损失，同时也将会产生一定的经济效益，对本县经济可持续发展意义深远。</w:t>
      </w:r>
    </w:p>
    <w:p>
      <w:pPr>
        <w:ind w:firstLine="640"/>
        <w:rPr>
          <w:color w:val="auto"/>
        </w:rPr>
      </w:pPr>
      <w:r>
        <w:rPr>
          <w:rFonts w:hint="eastAsia" w:ascii="Times New Roman" w:hAnsi="Times New Roman"/>
          <w:color w:val="auto"/>
        </w:rPr>
        <w:t>1.</w:t>
      </w:r>
      <w:r>
        <w:rPr>
          <w:rFonts w:hint="eastAsia"/>
          <w:color w:val="auto"/>
        </w:rPr>
        <w:t>首先是生存条件的改善，使人民不再为</w:t>
      </w:r>
      <w:r>
        <w:rPr>
          <w:rFonts w:hint="eastAsia"/>
          <w:color w:val="auto"/>
          <w:lang w:eastAsia="zh-CN"/>
        </w:rPr>
        <w:t>自己</w:t>
      </w:r>
      <w:bookmarkStart w:id="126" w:name="_GoBack"/>
      <w:bookmarkEnd w:id="126"/>
      <w:r>
        <w:rPr>
          <w:rFonts w:hint="eastAsia"/>
          <w:color w:val="auto"/>
        </w:rPr>
        <w:t>生命安全担心，全身心地投入到建设自身美好家园的生产中去，也有了更多的精力投入到发展副业上来增加经济收入。</w:t>
      </w:r>
    </w:p>
    <w:p>
      <w:pPr>
        <w:ind w:firstLine="640"/>
        <w:rPr>
          <w:color w:val="auto"/>
        </w:rPr>
      </w:pPr>
      <w:r>
        <w:rPr>
          <w:rFonts w:hint="eastAsia" w:ascii="Times New Roman" w:hAnsi="Times New Roman"/>
          <w:color w:val="auto"/>
        </w:rPr>
        <w:t>2.</w:t>
      </w:r>
      <w:r>
        <w:rPr>
          <w:rFonts w:hint="eastAsia"/>
          <w:color w:val="auto"/>
        </w:rPr>
        <w:t>把灾区人民安置到一个新的居民点，水、电、交通均会得到妥善解决，人民生产之余，也可发展其它产业来增加一定的收入。</w:t>
      </w:r>
    </w:p>
    <w:p>
      <w:pPr>
        <w:ind w:firstLine="640"/>
        <w:rPr>
          <w:color w:val="auto"/>
        </w:rPr>
      </w:pPr>
      <w:r>
        <w:rPr>
          <w:rFonts w:hint="eastAsia" w:ascii="Times New Roman" w:hAnsi="Times New Roman"/>
          <w:color w:val="auto"/>
        </w:rPr>
        <w:t>3.</w:t>
      </w:r>
      <w:r>
        <w:rPr>
          <w:rFonts w:hint="eastAsia"/>
          <w:color w:val="auto"/>
        </w:rPr>
        <w:t>原地质灾害点搬迁后，进行土地整理，实行退耕还林，植树种草，栽种经济林，在保持灾害体稳定性的基础上也可增加一定的经济收入。</w:t>
      </w:r>
    </w:p>
    <w:p>
      <w:pPr>
        <w:ind w:firstLine="640"/>
        <w:rPr>
          <w:color w:val="auto"/>
        </w:rPr>
      </w:pPr>
      <w:r>
        <w:rPr>
          <w:rFonts w:hint="eastAsia" w:ascii="Times New Roman" w:hAnsi="Times New Roman"/>
          <w:color w:val="auto"/>
        </w:rPr>
        <w:t>4.</w:t>
      </w:r>
      <w:r>
        <w:rPr>
          <w:rFonts w:hint="eastAsia"/>
          <w:color w:val="auto"/>
        </w:rPr>
        <w:t>农村地质灾害的防治，每年都要花费大量的人力、物力和财力来进行监测、预警，工程实施后可以解决长期困扰政府和人民的这一问题，节约了开支，间接地增加了收入。</w:t>
      </w:r>
    </w:p>
    <w:p>
      <w:pPr>
        <w:pStyle w:val="4"/>
        <w:ind w:firstLine="640"/>
        <w:rPr>
          <w:color w:val="auto"/>
        </w:rPr>
      </w:pPr>
      <w:bookmarkStart w:id="94" w:name="_Toc28131"/>
      <w:bookmarkStart w:id="95" w:name="_Toc76480643"/>
      <w:bookmarkStart w:id="96" w:name="_Toc10054"/>
      <w:r>
        <w:rPr>
          <w:rFonts w:hint="eastAsia"/>
          <w:color w:val="auto"/>
        </w:rPr>
        <w:t>（三）生态环境效益</w:t>
      </w:r>
      <w:bookmarkEnd w:id="94"/>
      <w:bookmarkEnd w:id="95"/>
      <w:bookmarkEnd w:id="96"/>
    </w:p>
    <w:p>
      <w:pPr>
        <w:ind w:firstLine="640"/>
        <w:rPr>
          <w:color w:val="auto"/>
        </w:rPr>
      </w:pPr>
      <w:r>
        <w:rPr>
          <w:rFonts w:hint="eastAsia"/>
          <w:color w:val="auto"/>
        </w:rPr>
        <w:t>勐海县地质灾害治理的生态效益主要体现在美化环境及水土保持两方面。通过《规划》的全面贯彻实施，将有效地遏制人为因素造成的地质灾害危害，防止水土流失，涵养了水源，保住土肥，可有效增加保土、保肥、涵养水源的能力，降低了水体的浑浊度，提高水体质量，有效地控制勐海县地质环境恶化的趋势，对自然环境也起到保护的作用。将进一步提高勐海县地质环境保护与管理水平，自然生态环境与景观将得到有效保护与改善，自然资源得到可持续利用，从而增强勐海县经济社会发展的活力和后劲，对勐海县生态文明建设发挥重要的推动作用。</w:t>
      </w:r>
    </w:p>
    <w:p>
      <w:pPr>
        <w:pStyle w:val="2"/>
        <w:ind w:firstLine="640"/>
        <w:rPr>
          <w:color w:val="auto"/>
        </w:rPr>
      </w:pPr>
    </w:p>
    <w:p>
      <w:pPr>
        <w:pStyle w:val="3"/>
        <w:numPr>
          <w:ilvl w:val="0"/>
          <w:numId w:val="0"/>
        </w:numPr>
        <w:ind w:left="640" w:leftChars="200"/>
        <w:rPr>
          <w:color w:val="auto"/>
        </w:rPr>
      </w:pPr>
      <w:bookmarkStart w:id="97" w:name="_Toc76480644"/>
      <w:bookmarkStart w:id="98" w:name="_Toc14894"/>
      <w:bookmarkStart w:id="99" w:name="_Toc29012"/>
      <w:r>
        <w:rPr>
          <w:rFonts w:hint="eastAsia"/>
          <w:color w:val="auto"/>
        </w:rPr>
        <w:t>八、保障措施</w:t>
      </w:r>
      <w:bookmarkEnd w:id="97"/>
      <w:bookmarkEnd w:id="98"/>
      <w:bookmarkEnd w:id="99"/>
    </w:p>
    <w:p>
      <w:pPr>
        <w:ind w:firstLine="640"/>
        <w:rPr>
          <w:color w:val="auto"/>
        </w:rPr>
      </w:pPr>
      <w:r>
        <w:rPr>
          <w:rFonts w:hint="eastAsia"/>
          <w:color w:val="auto"/>
        </w:rPr>
        <w:t>地质灾害的防治是一项系统性强、涉及面广，组织、协调、管理难度大的工作，单由政府或主管部门投入还不能从根本上解决问题。还必须通过制度制约，统一领导、加强协调，整合资源、部门联动，明确责任、严肃惩处，保证投入，追踪问责等方面加以保障，才能保证勐海县地质灾害防治规划顺利实施。</w:t>
      </w:r>
    </w:p>
    <w:p>
      <w:pPr>
        <w:pStyle w:val="4"/>
        <w:ind w:firstLine="640"/>
        <w:rPr>
          <w:color w:val="auto"/>
        </w:rPr>
      </w:pPr>
      <w:bookmarkStart w:id="100" w:name="_Toc76480645"/>
      <w:bookmarkStart w:id="101" w:name="_Toc17193"/>
      <w:bookmarkStart w:id="102" w:name="_Toc16586"/>
      <w:r>
        <w:rPr>
          <w:rFonts w:hint="eastAsia"/>
          <w:color w:val="auto"/>
        </w:rPr>
        <w:t>（一）</w:t>
      </w:r>
      <w:bookmarkEnd w:id="100"/>
      <w:bookmarkEnd w:id="101"/>
      <w:r>
        <w:rPr>
          <w:rFonts w:hint="eastAsia"/>
          <w:color w:val="auto"/>
        </w:rPr>
        <w:t>加强法制化管理</w:t>
      </w:r>
      <w:bookmarkEnd w:id="102"/>
    </w:p>
    <w:p>
      <w:pPr>
        <w:ind w:firstLine="640"/>
        <w:rPr>
          <w:color w:val="auto"/>
        </w:rPr>
      </w:pPr>
      <w:r>
        <w:rPr>
          <w:rFonts w:hint="eastAsia"/>
          <w:color w:val="auto"/>
        </w:rPr>
        <w:t>严格按照</w:t>
      </w:r>
      <w:r>
        <w:rPr>
          <w:color w:val="auto"/>
        </w:rPr>
        <w:t>《地质灾害防治条例》</w:t>
      </w:r>
      <w:r>
        <w:rPr>
          <w:rFonts w:hint="eastAsia"/>
          <w:color w:val="auto"/>
        </w:rPr>
        <w:t>加强管理，</w:t>
      </w:r>
      <w:r>
        <w:rPr>
          <w:color w:val="auto"/>
        </w:rPr>
        <w:t>严格监督执行地质灾害调查、危险性评估，预警预报，防灾预案、灾情速报、应急反应，险情巡查、汛期值班、项目管理、专项资金等各项管理制度</w:t>
      </w:r>
      <w:r>
        <w:rPr>
          <w:rFonts w:hint="eastAsia"/>
          <w:color w:val="auto"/>
        </w:rPr>
        <w:t>。</w:t>
      </w:r>
    </w:p>
    <w:p>
      <w:pPr>
        <w:pStyle w:val="4"/>
        <w:ind w:firstLine="640"/>
        <w:rPr>
          <w:color w:val="auto"/>
        </w:rPr>
      </w:pPr>
      <w:bookmarkStart w:id="103" w:name="_Toc16159"/>
      <w:bookmarkStart w:id="104" w:name="_Toc6118"/>
      <w:bookmarkStart w:id="105" w:name="_Toc76480646"/>
      <w:r>
        <w:rPr>
          <w:rFonts w:hint="eastAsia"/>
          <w:color w:val="auto"/>
        </w:rPr>
        <w:t>（二）统一领导，加强协调</w:t>
      </w:r>
      <w:bookmarkEnd w:id="103"/>
      <w:bookmarkEnd w:id="104"/>
      <w:bookmarkEnd w:id="105"/>
    </w:p>
    <w:p>
      <w:pPr>
        <w:ind w:firstLine="640"/>
        <w:rPr>
          <w:color w:val="auto"/>
        </w:rPr>
      </w:pPr>
      <w:r>
        <w:rPr>
          <w:rFonts w:hint="eastAsia"/>
          <w:color w:val="auto"/>
        </w:rPr>
        <w:t>各级人民政府对本辖区的地质灾害防治工作负总责，分管领导为第一责任人。自然资源主管部门在同级政府的统一领导下，做好地质灾害防治组织协调工作，监督指导有关部门和单位依法履行地质灾害防治责任。</w:t>
      </w:r>
    </w:p>
    <w:p>
      <w:pPr>
        <w:ind w:firstLine="640"/>
        <w:rPr>
          <w:color w:val="auto"/>
        </w:rPr>
      </w:pPr>
      <w:r>
        <w:rPr>
          <w:rFonts w:hint="eastAsia"/>
          <w:color w:val="auto"/>
        </w:rPr>
        <w:t>各级自然资源管理部门应加强耕地保护和生态修复股和乡（镇）管理所的机构建设，根据工作需要确保人员配置，确保队伍稳定，做到定人、定岗、定职责，鼓励在岗人员开拓创新，认真落实各项方针、政策，切实做好地质灾害的防治工作。负责辖区内地质灾害防治项目的申报和组织实施，接受省、县指导、跟踪和督查。</w:t>
      </w:r>
    </w:p>
    <w:p>
      <w:pPr>
        <w:pStyle w:val="4"/>
        <w:ind w:firstLine="640"/>
        <w:rPr>
          <w:color w:val="auto"/>
        </w:rPr>
      </w:pPr>
      <w:bookmarkStart w:id="106" w:name="_Toc9485"/>
      <w:bookmarkStart w:id="107" w:name="_Toc5877"/>
      <w:bookmarkStart w:id="108" w:name="_Toc76480647"/>
      <w:r>
        <w:rPr>
          <w:rFonts w:hint="eastAsia"/>
          <w:color w:val="auto"/>
        </w:rPr>
        <w:t>（三）整合资源，部门联动</w:t>
      </w:r>
      <w:bookmarkEnd w:id="106"/>
      <w:bookmarkEnd w:id="107"/>
      <w:bookmarkEnd w:id="108"/>
    </w:p>
    <w:p>
      <w:pPr>
        <w:ind w:firstLine="640"/>
        <w:rPr>
          <w:color w:val="auto"/>
        </w:rPr>
      </w:pPr>
      <w:r>
        <w:rPr>
          <w:rFonts w:hint="eastAsia"/>
          <w:color w:val="auto"/>
        </w:rPr>
        <w:t>自然资源管理部门要与地质灾害防治专业队伍、科研机构、专家及相关专业院校建立良好稳定的合作关系，依靠专家和工程技术人员，大力提升勐海县地质灾害防治科技水平。</w:t>
      </w:r>
    </w:p>
    <w:p>
      <w:pPr>
        <w:ind w:firstLine="640"/>
        <w:rPr>
          <w:color w:val="auto"/>
        </w:rPr>
      </w:pPr>
      <w:r>
        <w:rPr>
          <w:rFonts w:hint="eastAsia"/>
          <w:color w:val="auto"/>
        </w:rPr>
        <w:t>加强与水务、地震、民政、气象、广播电视和通信部门的沟通与联系，整合相关资金、资料和设备资源，确保地质灾害防治做到统筹兼顾、科学合理。</w:t>
      </w:r>
    </w:p>
    <w:p>
      <w:pPr>
        <w:ind w:firstLine="640"/>
        <w:rPr>
          <w:color w:val="auto"/>
        </w:rPr>
      </w:pPr>
      <w:r>
        <w:rPr>
          <w:rFonts w:hint="eastAsia"/>
          <w:color w:val="auto"/>
        </w:rPr>
        <w:t>县发展改革、水务、交通运输、住建、林业、教育、卫生、旅游、电力等其他相关部门按照职责分工，组织指导本行业内单位和项目业主，切实做好地质灾害调查评估、监测预警、工程治理、搬迁避让等防灾减灾工作，不断加强行业内工程施工、生产经营的组织管理，有效减轻人类工程活动对地质环境的影响和破坏。</w:t>
      </w:r>
    </w:p>
    <w:p>
      <w:pPr>
        <w:ind w:firstLine="640"/>
        <w:rPr>
          <w:color w:val="auto"/>
        </w:rPr>
      </w:pPr>
      <w:r>
        <w:rPr>
          <w:rFonts w:hint="eastAsia"/>
          <w:color w:val="auto"/>
        </w:rPr>
        <w:t>易地搬迁扶贫、新农村建设、土地开发整理、农业产业结构调整等项目，要向地质灾害搬迁工作倾斜，优选安排实施，加大推进力度。</w:t>
      </w:r>
    </w:p>
    <w:p>
      <w:pPr>
        <w:pStyle w:val="4"/>
        <w:ind w:firstLine="640"/>
        <w:rPr>
          <w:color w:val="auto"/>
        </w:rPr>
      </w:pPr>
      <w:bookmarkStart w:id="109" w:name="_Toc76480648"/>
      <w:bookmarkStart w:id="110" w:name="_Toc32021"/>
      <w:bookmarkStart w:id="111" w:name="_Toc6983"/>
      <w:r>
        <w:rPr>
          <w:rFonts w:hint="eastAsia"/>
          <w:color w:val="auto"/>
        </w:rPr>
        <w:t>（四）分级负责，严肃奖惩</w:t>
      </w:r>
      <w:bookmarkEnd w:id="109"/>
      <w:bookmarkEnd w:id="110"/>
      <w:bookmarkEnd w:id="111"/>
    </w:p>
    <w:p>
      <w:pPr>
        <w:ind w:firstLine="640"/>
        <w:rPr>
          <w:color w:val="auto"/>
        </w:rPr>
      </w:pPr>
      <w:r>
        <w:rPr>
          <w:rFonts w:hint="eastAsia"/>
          <w:color w:val="auto"/>
        </w:rPr>
        <w:t>县人民政府负责组织实施，乡（镇）级政府负责具体做好有关工作。签订目标责任书，严格考核，根据相关规定严肃奖惩。</w:t>
      </w:r>
    </w:p>
    <w:p>
      <w:pPr>
        <w:pStyle w:val="4"/>
        <w:ind w:firstLine="640"/>
        <w:rPr>
          <w:color w:val="auto"/>
        </w:rPr>
      </w:pPr>
      <w:bookmarkStart w:id="112" w:name="_Toc24636"/>
      <w:bookmarkStart w:id="113" w:name="_Toc76480649"/>
      <w:bookmarkStart w:id="114" w:name="_Toc3969"/>
      <w:r>
        <w:rPr>
          <w:rFonts w:hint="eastAsia"/>
          <w:color w:val="auto"/>
        </w:rPr>
        <w:t>（五）保证投入，追踪问效</w:t>
      </w:r>
      <w:bookmarkEnd w:id="112"/>
      <w:bookmarkEnd w:id="113"/>
      <w:bookmarkEnd w:id="114"/>
    </w:p>
    <w:p>
      <w:pPr>
        <w:ind w:firstLine="640"/>
        <w:rPr>
          <w:color w:val="auto"/>
        </w:rPr>
      </w:pPr>
      <w:r>
        <w:rPr>
          <w:rFonts w:hint="eastAsia"/>
          <w:color w:val="auto"/>
        </w:rPr>
        <w:t>县人民政府把管辖区地质灾害防治工作及经费纳入地方经济与社会发展计划和财政预算，建立地质灾害防治专项资金，需要争取国家财政援助的项目，要及时如实上报，保证防治资金的主要来源。中型以上地质灾害隐患项目，及时组织上报，争取上级财政专项资金支持，建立地质灾害防治专项资金账户，确保防治资金专款专用。</w:t>
      </w:r>
    </w:p>
    <w:p>
      <w:pPr>
        <w:ind w:firstLine="640"/>
        <w:rPr>
          <w:color w:val="auto"/>
        </w:rPr>
      </w:pPr>
      <w:r>
        <w:rPr>
          <w:rFonts w:hint="eastAsia"/>
          <w:color w:val="auto"/>
        </w:rPr>
        <w:t>严格按照《地质灾害防治条例》规定的“谁引发、谁治理”的地质灾害防治原则，对人为引发的地质灾害，由引发者出资治理；对于自然产生的或引发责任主体难以明确的地质灾害，坚持国家财政、地方财政和受益者共同出资，合理分担的原则，筹集治理资金。</w:t>
      </w:r>
    </w:p>
    <w:p>
      <w:pPr>
        <w:ind w:firstLine="640"/>
        <w:rPr>
          <w:color w:val="auto"/>
        </w:rPr>
      </w:pPr>
      <w:r>
        <w:rPr>
          <w:rFonts w:hint="eastAsia"/>
          <w:color w:val="auto"/>
        </w:rPr>
        <w:t>全社会参与监督管理，保证地质灾害防治工作有条不紊进行，对松懈怠慢行为追究相关领导责任，情节严重者交司法机关处理。</w:t>
      </w:r>
    </w:p>
    <w:p>
      <w:pPr>
        <w:pStyle w:val="4"/>
        <w:ind w:firstLine="640"/>
        <w:rPr>
          <w:color w:val="auto"/>
        </w:rPr>
      </w:pPr>
      <w:bookmarkStart w:id="115" w:name="_Toc76480650"/>
      <w:bookmarkStart w:id="116" w:name="_Toc31587"/>
      <w:bookmarkStart w:id="117" w:name="_Toc32199"/>
      <w:r>
        <w:rPr>
          <w:rFonts w:hint="eastAsia"/>
          <w:color w:val="auto"/>
        </w:rPr>
        <w:t>（六）加强宣传教育</w:t>
      </w:r>
      <w:bookmarkEnd w:id="115"/>
      <w:bookmarkEnd w:id="116"/>
      <w:bookmarkEnd w:id="117"/>
    </w:p>
    <w:p>
      <w:pPr>
        <w:ind w:firstLine="640"/>
        <w:rPr>
          <w:color w:val="auto"/>
        </w:rPr>
      </w:pPr>
      <w:r>
        <w:rPr>
          <w:rFonts w:hint="eastAsia"/>
          <w:color w:val="auto"/>
        </w:rPr>
        <w:t>县人民政府加大对地质灾害防治工作的宣传和教育的力度，县自然资源局积极做好本部门和基层领导干部、监测人员的培训工作，提高人员素质，逐步实现培训工作的制度化和经常化。</w:t>
      </w:r>
    </w:p>
    <w:p>
      <w:pPr>
        <w:ind w:firstLine="640"/>
        <w:rPr>
          <w:color w:val="auto"/>
        </w:rPr>
      </w:pPr>
      <w:r>
        <w:rPr>
          <w:rFonts w:hint="eastAsia"/>
          <w:color w:val="auto"/>
        </w:rPr>
        <w:t>充分利用电视、广播、板报、标语或农闲、赶集、土地宣传日等时机，大力宣传防灾避灾知识，增强群众的地质灾害防治意识和自救、互救能力，增强全民地质灾害防灾减灾的意识和信心。</w:t>
      </w:r>
    </w:p>
    <w:p>
      <w:pPr>
        <w:pStyle w:val="4"/>
        <w:ind w:firstLine="640"/>
        <w:rPr>
          <w:color w:val="auto"/>
        </w:rPr>
      </w:pPr>
      <w:bookmarkStart w:id="118" w:name="_Toc76480651"/>
      <w:bookmarkStart w:id="119" w:name="_Toc2317"/>
      <w:bookmarkStart w:id="120" w:name="_Toc9859"/>
      <w:r>
        <w:rPr>
          <w:rFonts w:hint="eastAsia"/>
          <w:color w:val="auto"/>
        </w:rPr>
        <w:t>（七）人员保障</w:t>
      </w:r>
      <w:bookmarkEnd w:id="118"/>
      <w:bookmarkEnd w:id="119"/>
      <w:bookmarkEnd w:id="120"/>
    </w:p>
    <w:p>
      <w:pPr>
        <w:ind w:firstLine="640"/>
        <w:rPr>
          <w:color w:val="auto"/>
        </w:rPr>
      </w:pPr>
      <w:r>
        <w:rPr>
          <w:rFonts w:hint="eastAsia"/>
          <w:color w:val="auto"/>
        </w:rPr>
        <w:t>县自然资源管理部门保证全额配备地质灾害防治管理工作人员负责地质灾害防治的日常事务，加强地质灾害管理。充分联系县应急管理局、水利局、交通局、环保局、农业局、林业局等相关管理人员和技术人员，共同防治地质灾害。</w:t>
      </w:r>
    </w:p>
    <w:p>
      <w:pPr>
        <w:ind w:firstLine="640"/>
        <w:rPr>
          <w:rFonts w:eastAsia="宋体" w:cs="宋体"/>
          <w:color w:val="auto"/>
        </w:rPr>
      </w:pPr>
    </w:p>
    <w:p>
      <w:pPr>
        <w:pStyle w:val="3"/>
        <w:numPr>
          <w:ilvl w:val="0"/>
          <w:numId w:val="0"/>
        </w:numPr>
        <w:ind w:left="640" w:leftChars="200"/>
        <w:rPr>
          <w:rFonts w:ascii="宋体" w:hAnsi="宋体" w:eastAsia="宋体" w:cs="宋体"/>
          <w:color w:val="auto"/>
        </w:rPr>
      </w:pPr>
      <w:bookmarkStart w:id="121" w:name="_Toc25876"/>
      <w:bookmarkStart w:id="122" w:name="_Toc11041"/>
      <w:bookmarkStart w:id="123" w:name="_Toc76480652"/>
      <w:r>
        <w:rPr>
          <w:rFonts w:hint="eastAsia" w:ascii="宋体" w:hAnsi="宋体" w:eastAsia="宋体" w:cs="宋体"/>
          <w:color w:val="auto"/>
        </w:rPr>
        <w:t>附则</w:t>
      </w:r>
      <w:bookmarkEnd w:id="121"/>
      <w:bookmarkEnd w:id="122"/>
      <w:bookmarkEnd w:id="123"/>
    </w:p>
    <w:p>
      <w:pPr>
        <w:ind w:firstLine="640"/>
        <w:rPr>
          <w:color w:val="auto"/>
        </w:rPr>
      </w:pPr>
      <w:bookmarkStart w:id="124" w:name="_Toc27230"/>
      <w:r>
        <w:rPr>
          <w:rFonts w:hint="eastAsia"/>
          <w:color w:val="auto"/>
        </w:rPr>
        <w:t>本《规划》经勐海县人民政府批准后发布实施。</w:t>
      </w:r>
      <w:bookmarkEnd w:id="124"/>
      <w:bookmarkStart w:id="125" w:name="_Toc26663"/>
    </w:p>
    <w:p>
      <w:pPr>
        <w:ind w:firstLine="640"/>
        <w:rPr>
          <w:color w:val="auto"/>
        </w:rPr>
      </w:pPr>
      <w:r>
        <w:rPr>
          <w:rFonts w:hint="eastAsia"/>
          <w:color w:val="auto"/>
        </w:rPr>
        <w:t>本《规划》由勐海县人民政府负责解释。</w:t>
      </w:r>
      <w:bookmarkEnd w:id="125"/>
    </w:p>
    <w:p>
      <w:pPr>
        <w:ind w:firstLine="440"/>
        <w:rPr>
          <w:rFonts w:eastAsia="宋体" w:cs="宋体"/>
          <w:color w:val="auto"/>
          <w:sz w:val="22"/>
        </w:rPr>
      </w:pPr>
    </w:p>
    <w:p>
      <w:pPr>
        <w:pStyle w:val="2"/>
        <w:ind w:firstLine="0" w:firstLineChars="0"/>
        <w:rPr>
          <w:color w:val="auto"/>
        </w:rPr>
      </w:pPr>
    </w:p>
    <w:sectPr>
      <w:footerReference r:id="rId11" w:type="default"/>
      <w:pgSz w:w="11850" w:h="16783"/>
      <w:pgMar w:top="1440" w:right="1797" w:bottom="1440" w:left="1797" w:header="851" w:footer="992" w:gutter="0"/>
      <w:pgNumType w:start="1"/>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794232-488F-4E71-AF4D-D6F19DD5E571}"/>
  </w:font>
  <w:font w:name="Arial">
    <w:panose1 w:val="020B0604020202020204"/>
    <w:charset w:val="01"/>
    <w:family w:val="swiss"/>
    <w:pitch w:val="default"/>
    <w:sig w:usb0="E0002AFF" w:usb1="C0007843" w:usb2="00000009" w:usb3="00000000" w:csb0="400001FF" w:csb1="FFFF0000"/>
    <w:embedRegular r:id="rId2" w:fontKey="{8DF7DA9B-2235-4BE0-872C-8405CA973307}"/>
  </w:font>
  <w:font w:name="黑体">
    <w:panose1 w:val="02010609060101010101"/>
    <w:charset w:val="86"/>
    <w:family w:val="auto"/>
    <w:pitch w:val="default"/>
    <w:sig w:usb0="800002BF" w:usb1="38CF7CFA" w:usb2="00000016" w:usb3="00000000" w:csb0="00040001" w:csb1="00000000"/>
    <w:embedRegular r:id="rId3" w:fontKey="{C28EB708-C212-4244-ADB8-7128984EEC9B}"/>
  </w:font>
  <w:font w:name="Courier New">
    <w:panose1 w:val="02070309020205020404"/>
    <w:charset w:val="01"/>
    <w:family w:val="modern"/>
    <w:pitch w:val="default"/>
    <w:sig w:usb0="E0002AFF" w:usb1="C0007843" w:usb2="00000009" w:usb3="00000000" w:csb0="400001FF" w:csb1="FFFF0000"/>
    <w:embedRegular r:id="rId4" w:fontKey="{B65B9413-806A-4264-8F63-AEE88EDE0CFE}"/>
  </w:font>
  <w:font w:name="Symbol">
    <w:panose1 w:val="05050102010706020507"/>
    <w:charset w:val="02"/>
    <w:family w:val="roman"/>
    <w:pitch w:val="default"/>
    <w:sig w:usb0="00000000" w:usb1="00000000" w:usb2="00000000" w:usb3="00000000" w:csb0="80000000" w:csb1="00000000"/>
    <w:embedRegular r:id="rId5" w:fontKey="{6FBCE2A1-B3E7-4F9B-A947-7B3CD64C1E72}"/>
  </w:font>
  <w:font w:name="Cambria">
    <w:panose1 w:val="02040503050406030204"/>
    <w:charset w:val="00"/>
    <w:family w:val="roman"/>
    <w:pitch w:val="default"/>
    <w:sig w:usb0="E00002FF" w:usb1="400004FF" w:usb2="00000000" w:usb3="00000000" w:csb0="2000019F" w:csb1="00000000"/>
    <w:embedRegular r:id="rId6" w:fontKey="{1B36A1F2-B6E2-4068-A3C2-77E02A9EEBE6}"/>
  </w:font>
  <w:font w:name="Calibri">
    <w:panose1 w:val="020F0502020204030204"/>
    <w:charset w:val="00"/>
    <w:family w:val="swiss"/>
    <w:pitch w:val="default"/>
    <w:sig w:usb0="E10002FF" w:usb1="4000ACFF" w:usb2="00000009" w:usb3="00000000" w:csb0="2000019F" w:csb1="00000000"/>
    <w:embedRegular r:id="rId7" w:fontKey="{2B92AD61-BFEE-4331-88FB-2CBFFE868AF9}"/>
  </w:font>
  <w:font w:name="方正仿宋_GBK">
    <w:panose1 w:val="03000509000000000000"/>
    <w:charset w:val="86"/>
    <w:family w:val="script"/>
    <w:pitch w:val="default"/>
    <w:sig w:usb0="00000001" w:usb1="080E0000" w:usb2="00000000" w:usb3="00000000" w:csb0="00040000" w:csb1="00000000"/>
    <w:embedRegular r:id="rId8" w:fontKey="{389E023E-F954-4C81-82B4-36DB96267C2D}"/>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0" w:usb1="00000000" w:usb2="00000000" w:usb3="00000000" w:csb0="00000000" w:csb1="00000000"/>
    <w:embedRegular r:id="rId9" w:fontKey="{41F8BAF1-33FE-4C56-A5B2-BBE02E521E1B}"/>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10" w:fontKey="{4A74A13B-5DB6-430D-B7EB-3917AB127790}"/>
  </w:font>
  <w:font w:name="楷体">
    <w:panose1 w:val="02010609060101010101"/>
    <w:charset w:val="86"/>
    <w:family w:val="modern"/>
    <w:pitch w:val="default"/>
    <w:sig w:usb0="800002BF" w:usb1="38CF7CFA" w:usb2="00000016" w:usb3="00000000" w:csb0="00040001" w:csb1="00000000"/>
    <w:embedRegular r:id="rId11" w:fontKey="{2C7D9148-080C-4475-B066-3B3030D4E6AF}"/>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55B20AF2-2BFE-4705-B7A9-9D779280F454}"/>
  </w:font>
  <w:font w:name="Arial">
    <w:panose1 w:val="020B0604020202020204"/>
    <w:charset w:val="00"/>
    <w:family w:val="auto"/>
    <w:pitch w:val="default"/>
    <w:sig w:usb0="E0002AFF" w:usb1="C0007843" w:usb2="00000009" w:usb3="00000000" w:csb0="400001FF" w:csb1="FFFF0000"/>
    <w:embedRegular r:id="rId13" w:fontKey="{03B00148-86E9-4E34-A469-C395B3AD1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rPr>
        <w:rFonts w:ascii="宋体" w:hAnsi="宋体"/>
        <w:color w:val="000000"/>
        <w:sz w:val="1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rPr>
        <w:rFonts w:ascii="宋体" w:hAnsi="宋体"/>
        <w:color w:val="000000"/>
        <w:sz w:val="1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firstLine="360"/>
      <w:rPr>
        <w:rFonts w:ascii="宋体" w:hAnsi="宋体"/>
        <w:color w:val="000000"/>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20"/>
      <w:rPr>
        <w:rFonts w:ascii="Times New Roman"/>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8475364"/>
    </w:sdtPr>
    <w:sdtEndPr>
      <w:rPr>
        <w:rFonts w:ascii="Times New Roman"/>
        <w:sz w:val="21"/>
        <w:szCs w:val="21"/>
      </w:rPr>
    </w:sdtEndPr>
    <w:sdtContent>
      <w:p>
        <w:pPr>
          <w:pStyle w:val="19"/>
          <w:ind w:firstLine="360"/>
          <w:jc w:val="center"/>
          <w:rPr>
            <w:rFonts w:ascii="Times New Roman"/>
            <w:sz w:val="21"/>
            <w:szCs w:val="21"/>
          </w:rPr>
        </w:pPr>
        <w:r>
          <w:rPr>
            <w:rFonts w:ascii="Times New Roman"/>
            <w:sz w:val="21"/>
            <w:szCs w:val="21"/>
          </w:rPr>
          <w:fldChar w:fldCharType="begin"/>
        </w:r>
        <w:r>
          <w:rPr>
            <w:rFonts w:ascii="Times New Roman"/>
            <w:sz w:val="21"/>
            <w:szCs w:val="21"/>
          </w:rPr>
          <w:instrText xml:space="preserve">PAGE   \* MERGEFORMAT</w:instrText>
        </w:r>
        <w:r>
          <w:rPr>
            <w:rFonts w:ascii="Times New Roman"/>
            <w:sz w:val="21"/>
            <w:szCs w:val="21"/>
          </w:rPr>
          <w:fldChar w:fldCharType="separate"/>
        </w:r>
        <w:r>
          <w:rPr>
            <w:rFonts w:ascii="Times New Roman"/>
            <w:sz w:val="21"/>
            <w:szCs w:val="21"/>
          </w:rPr>
          <w:t>16</w:t>
        </w:r>
        <w:r>
          <w:rPr>
            <w:rFonts w:ascii="Times New Roman"/>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right w:val="none" w:color="auto" w:sz="0" w:space="4"/>
      </w:pBdr>
      <w:snapToGrid w:val="0"/>
      <w:ind w:firstLine="360"/>
      <w:rPr>
        <w:rFonts w:ascii="Times New Roman" w:hAnsi="Times New Roman"/>
        <w:color w:val="000000"/>
        <w:sz w:val="18"/>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ind w:firstLine="360"/>
      <w:rPr>
        <w:rFonts w:ascii="Times New Roman" w:hAnsi="Times New Roman"/>
        <w:color w:val="000000"/>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ind w:firstLine="360"/>
      <w:rPr>
        <w:rFonts w:ascii="Times New Roman" w:hAnsi="Times New Roman"/>
        <w:color w:val="000000"/>
        <w:sz w:val="18"/>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C6D02"/>
    <w:multiLevelType w:val="multilevel"/>
    <w:tmpl w:val="676C6D02"/>
    <w:lvl w:ilvl="0" w:tentative="0">
      <w:start w:val="1"/>
      <w:numFmt w:val="chineseCountingThousand"/>
      <w:pStyle w:val="3"/>
      <w:suff w:val="nothing"/>
      <w:lvlText w:val="第%1章"/>
      <w:lvlJc w:val="left"/>
      <w:pPr>
        <w:ind w:left="0" w:firstLine="0"/>
      </w:pPr>
    </w:lvl>
    <w:lvl w:ilvl="1" w:tentative="0">
      <w:start w:val="1"/>
      <w:numFmt w:val="none"/>
      <w:pStyle w:val="4"/>
      <w:suff w:val="nothing"/>
      <w:lvlText w:val=""/>
      <w:lvlJc w:val="left"/>
      <w:pPr>
        <w:ind w:left="0" w:firstLine="0"/>
      </w:pPr>
    </w:lvl>
    <w:lvl w:ilvl="2" w:tentative="0">
      <w:start w:val="1"/>
      <w:numFmt w:val="none"/>
      <w:pStyle w:val="5"/>
      <w:suff w:val="nothing"/>
      <w:lvlText w:val=""/>
      <w:lvlJc w:val="left"/>
      <w:pPr>
        <w:ind w:left="0" w:firstLine="0"/>
      </w:pPr>
    </w:lvl>
    <w:lvl w:ilvl="3" w:tentative="0">
      <w:start w:val="1"/>
      <w:numFmt w:val="none"/>
      <w:pStyle w:val="6"/>
      <w:suff w:val="nothing"/>
      <w:lvlText w:val=""/>
      <w:lvlJc w:val="left"/>
      <w:pPr>
        <w:ind w:left="0" w:firstLine="0"/>
      </w:pPr>
    </w:lvl>
    <w:lvl w:ilvl="4" w:tentative="0">
      <w:start w:val="1"/>
      <w:numFmt w:val="none"/>
      <w:pStyle w:val="7"/>
      <w:suff w:val="nothing"/>
      <w:lvlText w:val=""/>
      <w:lvlJc w:val="left"/>
      <w:pPr>
        <w:ind w:left="0" w:firstLine="0"/>
      </w:pPr>
    </w:lvl>
    <w:lvl w:ilvl="5" w:tentative="0">
      <w:start w:val="1"/>
      <w:numFmt w:val="none"/>
      <w:pStyle w:val="8"/>
      <w:suff w:val="nothing"/>
      <w:lvlText w:val=""/>
      <w:lvlJc w:val="left"/>
      <w:pPr>
        <w:ind w:left="0" w:firstLine="0"/>
      </w:pPr>
    </w:lvl>
    <w:lvl w:ilvl="6" w:tentative="0">
      <w:start w:val="1"/>
      <w:numFmt w:val="none"/>
      <w:pStyle w:val="9"/>
      <w:suff w:val="nothing"/>
      <w:lvlText w:val=""/>
      <w:lvlJc w:val="left"/>
      <w:pPr>
        <w:ind w:left="0" w:firstLine="0"/>
      </w:pPr>
    </w:lvl>
    <w:lvl w:ilvl="7" w:tentative="0">
      <w:start w:val="1"/>
      <w:numFmt w:val="none"/>
      <w:pStyle w:val="10"/>
      <w:suff w:val="nothing"/>
      <w:lvlText w:val=""/>
      <w:lvlJc w:val="left"/>
      <w:pPr>
        <w:ind w:left="0" w:firstLine="0"/>
      </w:pPr>
    </w:lvl>
    <w:lvl w:ilvl="8" w:tentative="0">
      <w:start w:val="1"/>
      <w:numFmt w:val="none"/>
      <w:pStyle w:val="11"/>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hmMDVkZmI0MmY3OTA2NWExZTk2NjU0NTgzNDRmZDMifQ=="/>
  </w:docVars>
  <w:rsids>
    <w:rsidRoot w:val="00D12A78"/>
    <w:rsid w:val="00000158"/>
    <w:rsid w:val="0000125A"/>
    <w:rsid w:val="00001D90"/>
    <w:rsid w:val="000032A9"/>
    <w:rsid w:val="000037DF"/>
    <w:rsid w:val="000041E6"/>
    <w:rsid w:val="000049C2"/>
    <w:rsid w:val="00005A0A"/>
    <w:rsid w:val="00006CCD"/>
    <w:rsid w:val="00012FAE"/>
    <w:rsid w:val="00013AA8"/>
    <w:rsid w:val="000144A0"/>
    <w:rsid w:val="00014EF3"/>
    <w:rsid w:val="000167C1"/>
    <w:rsid w:val="0001698F"/>
    <w:rsid w:val="00020D42"/>
    <w:rsid w:val="00021AD7"/>
    <w:rsid w:val="000225FA"/>
    <w:rsid w:val="000227F3"/>
    <w:rsid w:val="00025387"/>
    <w:rsid w:val="00026B38"/>
    <w:rsid w:val="0003000A"/>
    <w:rsid w:val="000309BB"/>
    <w:rsid w:val="00030B1C"/>
    <w:rsid w:val="00032968"/>
    <w:rsid w:val="00036062"/>
    <w:rsid w:val="00036CD1"/>
    <w:rsid w:val="000371B7"/>
    <w:rsid w:val="00037FF2"/>
    <w:rsid w:val="0004180B"/>
    <w:rsid w:val="00042D15"/>
    <w:rsid w:val="0004383B"/>
    <w:rsid w:val="0004431C"/>
    <w:rsid w:val="00044B3E"/>
    <w:rsid w:val="00046105"/>
    <w:rsid w:val="000464DE"/>
    <w:rsid w:val="00046B05"/>
    <w:rsid w:val="00050564"/>
    <w:rsid w:val="00050730"/>
    <w:rsid w:val="00050A0E"/>
    <w:rsid w:val="0005125F"/>
    <w:rsid w:val="0005145F"/>
    <w:rsid w:val="0005398F"/>
    <w:rsid w:val="0005461F"/>
    <w:rsid w:val="000559BB"/>
    <w:rsid w:val="000606B1"/>
    <w:rsid w:val="00060A9A"/>
    <w:rsid w:val="00060E42"/>
    <w:rsid w:val="00062B9F"/>
    <w:rsid w:val="0006363D"/>
    <w:rsid w:val="0006445F"/>
    <w:rsid w:val="00065067"/>
    <w:rsid w:val="00070501"/>
    <w:rsid w:val="00071740"/>
    <w:rsid w:val="00072350"/>
    <w:rsid w:val="000727E2"/>
    <w:rsid w:val="00072C20"/>
    <w:rsid w:val="00073961"/>
    <w:rsid w:val="00074C05"/>
    <w:rsid w:val="00075627"/>
    <w:rsid w:val="000767FE"/>
    <w:rsid w:val="00076E94"/>
    <w:rsid w:val="00082F14"/>
    <w:rsid w:val="000830BC"/>
    <w:rsid w:val="000835EB"/>
    <w:rsid w:val="000866C2"/>
    <w:rsid w:val="00090885"/>
    <w:rsid w:val="00090F1A"/>
    <w:rsid w:val="00093551"/>
    <w:rsid w:val="00093920"/>
    <w:rsid w:val="0009492C"/>
    <w:rsid w:val="000955DD"/>
    <w:rsid w:val="00097BAE"/>
    <w:rsid w:val="000A08FD"/>
    <w:rsid w:val="000A0B3C"/>
    <w:rsid w:val="000A21FF"/>
    <w:rsid w:val="000A36BD"/>
    <w:rsid w:val="000A3FBA"/>
    <w:rsid w:val="000A45ED"/>
    <w:rsid w:val="000A491F"/>
    <w:rsid w:val="000A4D67"/>
    <w:rsid w:val="000A4F17"/>
    <w:rsid w:val="000A5942"/>
    <w:rsid w:val="000B07E6"/>
    <w:rsid w:val="000B1812"/>
    <w:rsid w:val="000B18B9"/>
    <w:rsid w:val="000B1EB5"/>
    <w:rsid w:val="000B2287"/>
    <w:rsid w:val="000B31C8"/>
    <w:rsid w:val="000B3502"/>
    <w:rsid w:val="000B3537"/>
    <w:rsid w:val="000B4639"/>
    <w:rsid w:val="000B46A3"/>
    <w:rsid w:val="000B46FC"/>
    <w:rsid w:val="000B529F"/>
    <w:rsid w:val="000B5F3D"/>
    <w:rsid w:val="000C0251"/>
    <w:rsid w:val="000C0951"/>
    <w:rsid w:val="000C0B2B"/>
    <w:rsid w:val="000C2BC2"/>
    <w:rsid w:val="000C3E03"/>
    <w:rsid w:val="000C415A"/>
    <w:rsid w:val="000C5035"/>
    <w:rsid w:val="000C6EB8"/>
    <w:rsid w:val="000C7767"/>
    <w:rsid w:val="000D1733"/>
    <w:rsid w:val="000D2006"/>
    <w:rsid w:val="000D2EDD"/>
    <w:rsid w:val="000D3F33"/>
    <w:rsid w:val="000D459B"/>
    <w:rsid w:val="000D4E07"/>
    <w:rsid w:val="000D50A6"/>
    <w:rsid w:val="000D54D7"/>
    <w:rsid w:val="000D5E55"/>
    <w:rsid w:val="000D7D9A"/>
    <w:rsid w:val="000E1B06"/>
    <w:rsid w:val="000E2856"/>
    <w:rsid w:val="000E2AB7"/>
    <w:rsid w:val="000E3A69"/>
    <w:rsid w:val="000E5704"/>
    <w:rsid w:val="000E593B"/>
    <w:rsid w:val="000E61A7"/>
    <w:rsid w:val="000E62DA"/>
    <w:rsid w:val="000E68FB"/>
    <w:rsid w:val="000F2B7C"/>
    <w:rsid w:val="000F2CC7"/>
    <w:rsid w:val="000F3642"/>
    <w:rsid w:val="000F51AB"/>
    <w:rsid w:val="000F63A9"/>
    <w:rsid w:val="000F7114"/>
    <w:rsid w:val="000F7872"/>
    <w:rsid w:val="00100D52"/>
    <w:rsid w:val="00101625"/>
    <w:rsid w:val="001019A9"/>
    <w:rsid w:val="00102808"/>
    <w:rsid w:val="00102FE5"/>
    <w:rsid w:val="00103353"/>
    <w:rsid w:val="00103AEE"/>
    <w:rsid w:val="001049BC"/>
    <w:rsid w:val="00104C16"/>
    <w:rsid w:val="00105185"/>
    <w:rsid w:val="00105638"/>
    <w:rsid w:val="0010666A"/>
    <w:rsid w:val="0010724B"/>
    <w:rsid w:val="00107D84"/>
    <w:rsid w:val="00107FA1"/>
    <w:rsid w:val="0011222E"/>
    <w:rsid w:val="001125F0"/>
    <w:rsid w:val="00113AFE"/>
    <w:rsid w:val="00114648"/>
    <w:rsid w:val="00114C58"/>
    <w:rsid w:val="001151CA"/>
    <w:rsid w:val="001162A1"/>
    <w:rsid w:val="00116D47"/>
    <w:rsid w:val="001170FF"/>
    <w:rsid w:val="00117CCC"/>
    <w:rsid w:val="00122486"/>
    <w:rsid w:val="00122AE4"/>
    <w:rsid w:val="00124FBC"/>
    <w:rsid w:val="0012527C"/>
    <w:rsid w:val="001270EF"/>
    <w:rsid w:val="00131B8B"/>
    <w:rsid w:val="001327D7"/>
    <w:rsid w:val="00132859"/>
    <w:rsid w:val="00133440"/>
    <w:rsid w:val="0013346C"/>
    <w:rsid w:val="001356D6"/>
    <w:rsid w:val="00136073"/>
    <w:rsid w:val="00136338"/>
    <w:rsid w:val="001375F5"/>
    <w:rsid w:val="00137E2A"/>
    <w:rsid w:val="00137EB6"/>
    <w:rsid w:val="00137EF8"/>
    <w:rsid w:val="00143051"/>
    <w:rsid w:val="001438FD"/>
    <w:rsid w:val="00143E86"/>
    <w:rsid w:val="00145783"/>
    <w:rsid w:val="00146528"/>
    <w:rsid w:val="00147442"/>
    <w:rsid w:val="0015068D"/>
    <w:rsid w:val="00150F1B"/>
    <w:rsid w:val="00151028"/>
    <w:rsid w:val="0015204A"/>
    <w:rsid w:val="001543A5"/>
    <w:rsid w:val="0015466C"/>
    <w:rsid w:val="001556EA"/>
    <w:rsid w:val="001564C9"/>
    <w:rsid w:val="001565E8"/>
    <w:rsid w:val="00156BA2"/>
    <w:rsid w:val="00157912"/>
    <w:rsid w:val="00157A1D"/>
    <w:rsid w:val="001603E2"/>
    <w:rsid w:val="001631EA"/>
    <w:rsid w:val="0016447E"/>
    <w:rsid w:val="00164920"/>
    <w:rsid w:val="001652A7"/>
    <w:rsid w:val="0016553A"/>
    <w:rsid w:val="00165B1D"/>
    <w:rsid w:val="00167860"/>
    <w:rsid w:val="00171350"/>
    <w:rsid w:val="00171DB6"/>
    <w:rsid w:val="00172FAD"/>
    <w:rsid w:val="00173445"/>
    <w:rsid w:val="00173E85"/>
    <w:rsid w:val="0017415A"/>
    <w:rsid w:val="00175EE6"/>
    <w:rsid w:val="00177E4E"/>
    <w:rsid w:val="0018024B"/>
    <w:rsid w:val="00180E28"/>
    <w:rsid w:val="00181788"/>
    <w:rsid w:val="00181F66"/>
    <w:rsid w:val="00183A07"/>
    <w:rsid w:val="00183C91"/>
    <w:rsid w:val="0018685E"/>
    <w:rsid w:val="0018721A"/>
    <w:rsid w:val="0019118A"/>
    <w:rsid w:val="0019363B"/>
    <w:rsid w:val="00194956"/>
    <w:rsid w:val="0019717C"/>
    <w:rsid w:val="001A0768"/>
    <w:rsid w:val="001A1B91"/>
    <w:rsid w:val="001A2EE5"/>
    <w:rsid w:val="001A4291"/>
    <w:rsid w:val="001A45E6"/>
    <w:rsid w:val="001A54A2"/>
    <w:rsid w:val="001A5C06"/>
    <w:rsid w:val="001A62B4"/>
    <w:rsid w:val="001A7623"/>
    <w:rsid w:val="001B06C6"/>
    <w:rsid w:val="001B0EA6"/>
    <w:rsid w:val="001B1326"/>
    <w:rsid w:val="001B1F59"/>
    <w:rsid w:val="001B220F"/>
    <w:rsid w:val="001B2CB5"/>
    <w:rsid w:val="001B2F55"/>
    <w:rsid w:val="001B58D3"/>
    <w:rsid w:val="001B5BA9"/>
    <w:rsid w:val="001B6598"/>
    <w:rsid w:val="001B65CF"/>
    <w:rsid w:val="001B6B56"/>
    <w:rsid w:val="001B7DCE"/>
    <w:rsid w:val="001C0F60"/>
    <w:rsid w:val="001C3953"/>
    <w:rsid w:val="001C401E"/>
    <w:rsid w:val="001C4CD5"/>
    <w:rsid w:val="001C545F"/>
    <w:rsid w:val="001C58B5"/>
    <w:rsid w:val="001C5F24"/>
    <w:rsid w:val="001C6F13"/>
    <w:rsid w:val="001D181E"/>
    <w:rsid w:val="001D3C4C"/>
    <w:rsid w:val="001D4689"/>
    <w:rsid w:val="001D475F"/>
    <w:rsid w:val="001D5314"/>
    <w:rsid w:val="001D5522"/>
    <w:rsid w:val="001D5535"/>
    <w:rsid w:val="001D58ED"/>
    <w:rsid w:val="001D62EF"/>
    <w:rsid w:val="001D6EAF"/>
    <w:rsid w:val="001D7441"/>
    <w:rsid w:val="001E041B"/>
    <w:rsid w:val="001E073D"/>
    <w:rsid w:val="001E1976"/>
    <w:rsid w:val="001E1FA0"/>
    <w:rsid w:val="001E29B1"/>
    <w:rsid w:val="001E3630"/>
    <w:rsid w:val="001E461D"/>
    <w:rsid w:val="001E47A4"/>
    <w:rsid w:val="001E6FBF"/>
    <w:rsid w:val="001F0ADB"/>
    <w:rsid w:val="001F18F0"/>
    <w:rsid w:val="001F1EF1"/>
    <w:rsid w:val="001F28A0"/>
    <w:rsid w:val="001F2EAE"/>
    <w:rsid w:val="001F51B0"/>
    <w:rsid w:val="001F51B9"/>
    <w:rsid w:val="001F547D"/>
    <w:rsid w:val="001F6E10"/>
    <w:rsid w:val="001F7C87"/>
    <w:rsid w:val="001F7EC2"/>
    <w:rsid w:val="00200229"/>
    <w:rsid w:val="00200616"/>
    <w:rsid w:val="002007F5"/>
    <w:rsid w:val="00200990"/>
    <w:rsid w:val="00201DA9"/>
    <w:rsid w:val="00202EC6"/>
    <w:rsid w:val="00203E3E"/>
    <w:rsid w:val="00206C3B"/>
    <w:rsid w:val="00207AB5"/>
    <w:rsid w:val="002105A0"/>
    <w:rsid w:val="002113C6"/>
    <w:rsid w:val="00211C91"/>
    <w:rsid w:val="002139CE"/>
    <w:rsid w:val="00213AA1"/>
    <w:rsid w:val="00214A60"/>
    <w:rsid w:val="00214AB9"/>
    <w:rsid w:val="0021526F"/>
    <w:rsid w:val="002165F2"/>
    <w:rsid w:val="00216C33"/>
    <w:rsid w:val="00220616"/>
    <w:rsid w:val="00220AE3"/>
    <w:rsid w:val="00221017"/>
    <w:rsid w:val="002229A0"/>
    <w:rsid w:val="002248E9"/>
    <w:rsid w:val="00224991"/>
    <w:rsid w:val="002253A2"/>
    <w:rsid w:val="00225B34"/>
    <w:rsid w:val="00226298"/>
    <w:rsid w:val="0022731E"/>
    <w:rsid w:val="00230C2F"/>
    <w:rsid w:val="00231476"/>
    <w:rsid w:val="00231A12"/>
    <w:rsid w:val="00231AE8"/>
    <w:rsid w:val="0023330A"/>
    <w:rsid w:val="00233335"/>
    <w:rsid w:val="0023363E"/>
    <w:rsid w:val="00234913"/>
    <w:rsid w:val="00236BDD"/>
    <w:rsid w:val="002403DB"/>
    <w:rsid w:val="002407E1"/>
    <w:rsid w:val="002409A3"/>
    <w:rsid w:val="00241485"/>
    <w:rsid w:val="00241966"/>
    <w:rsid w:val="002425F0"/>
    <w:rsid w:val="00242621"/>
    <w:rsid w:val="002431B1"/>
    <w:rsid w:val="00243615"/>
    <w:rsid w:val="002460D2"/>
    <w:rsid w:val="0024616E"/>
    <w:rsid w:val="00246792"/>
    <w:rsid w:val="00246FC3"/>
    <w:rsid w:val="0025164E"/>
    <w:rsid w:val="00251775"/>
    <w:rsid w:val="00251F75"/>
    <w:rsid w:val="0025233C"/>
    <w:rsid w:val="0025334A"/>
    <w:rsid w:val="00253D2C"/>
    <w:rsid w:val="002542CC"/>
    <w:rsid w:val="002551A8"/>
    <w:rsid w:val="00255313"/>
    <w:rsid w:val="002553EB"/>
    <w:rsid w:val="00257170"/>
    <w:rsid w:val="00260591"/>
    <w:rsid w:val="002607D6"/>
    <w:rsid w:val="00263BBE"/>
    <w:rsid w:val="00265A6E"/>
    <w:rsid w:val="00266BF4"/>
    <w:rsid w:val="00267CF0"/>
    <w:rsid w:val="00270784"/>
    <w:rsid w:val="00271138"/>
    <w:rsid w:val="0027554B"/>
    <w:rsid w:val="002762EF"/>
    <w:rsid w:val="0027739A"/>
    <w:rsid w:val="002800C5"/>
    <w:rsid w:val="00281746"/>
    <w:rsid w:val="00282926"/>
    <w:rsid w:val="00284009"/>
    <w:rsid w:val="00284605"/>
    <w:rsid w:val="002858F3"/>
    <w:rsid w:val="00285A86"/>
    <w:rsid w:val="002861C7"/>
    <w:rsid w:val="00286F67"/>
    <w:rsid w:val="00287564"/>
    <w:rsid w:val="00287E23"/>
    <w:rsid w:val="00291B8E"/>
    <w:rsid w:val="00292351"/>
    <w:rsid w:val="00292B79"/>
    <w:rsid w:val="00292D97"/>
    <w:rsid w:val="0029413F"/>
    <w:rsid w:val="00294858"/>
    <w:rsid w:val="00294997"/>
    <w:rsid w:val="00295271"/>
    <w:rsid w:val="0029532A"/>
    <w:rsid w:val="0029610E"/>
    <w:rsid w:val="002965C0"/>
    <w:rsid w:val="00297EC8"/>
    <w:rsid w:val="002A0197"/>
    <w:rsid w:val="002A10C5"/>
    <w:rsid w:val="002A1ED0"/>
    <w:rsid w:val="002A294F"/>
    <w:rsid w:val="002A35A5"/>
    <w:rsid w:val="002A4344"/>
    <w:rsid w:val="002A47CA"/>
    <w:rsid w:val="002A6A78"/>
    <w:rsid w:val="002A72DB"/>
    <w:rsid w:val="002A7B3E"/>
    <w:rsid w:val="002A7EF3"/>
    <w:rsid w:val="002B17D8"/>
    <w:rsid w:val="002B5747"/>
    <w:rsid w:val="002B5BB3"/>
    <w:rsid w:val="002C0BA0"/>
    <w:rsid w:val="002C21AF"/>
    <w:rsid w:val="002C2943"/>
    <w:rsid w:val="002C3052"/>
    <w:rsid w:val="002C325E"/>
    <w:rsid w:val="002C34B6"/>
    <w:rsid w:val="002C3D3A"/>
    <w:rsid w:val="002C45D6"/>
    <w:rsid w:val="002C46F0"/>
    <w:rsid w:val="002C5306"/>
    <w:rsid w:val="002C5DAB"/>
    <w:rsid w:val="002C5E34"/>
    <w:rsid w:val="002C6AF8"/>
    <w:rsid w:val="002D00BE"/>
    <w:rsid w:val="002D1417"/>
    <w:rsid w:val="002D37C0"/>
    <w:rsid w:val="002D4156"/>
    <w:rsid w:val="002D4A7B"/>
    <w:rsid w:val="002D557B"/>
    <w:rsid w:val="002D662B"/>
    <w:rsid w:val="002D7A52"/>
    <w:rsid w:val="002D7DE9"/>
    <w:rsid w:val="002E018E"/>
    <w:rsid w:val="002E04AC"/>
    <w:rsid w:val="002E068F"/>
    <w:rsid w:val="002E0876"/>
    <w:rsid w:val="002E120E"/>
    <w:rsid w:val="002E186E"/>
    <w:rsid w:val="002E2D06"/>
    <w:rsid w:val="002E2F3D"/>
    <w:rsid w:val="002E3350"/>
    <w:rsid w:val="002E3C55"/>
    <w:rsid w:val="002E444A"/>
    <w:rsid w:val="002E5B75"/>
    <w:rsid w:val="002E72D7"/>
    <w:rsid w:val="002E737F"/>
    <w:rsid w:val="002E74BD"/>
    <w:rsid w:val="002E77F2"/>
    <w:rsid w:val="002E7E9B"/>
    <w:rsid w:val="002F41B1"/>
    <w:rsid w:val="002F4879"/>
    <w:rsid w:val="002F5268"/>
    <w:rsid w:val="002F53E5"/>
    <w:rsid w:val="002F5B7C"/>
    <w:rsid w:val="002F7396"/>
    <w:rsid w:val="002F780F"/>
    <w:rsid w:val="002F78B3"/>
    <w:rsid w:val="00300AA4"/>
    <w:rsid w:val="00302B70"/>
    <w:rsid w:val="003045B4"/>
    <w:rsid w:val="00305026"/>
    <w:rsid w:val="003058F6"/>
    <w:rsid w:val="0030656C"/>
    <w:rsid w:val="00306604"/>
    <w:rsid w:val="003133BD"/>
    <w:rsid w:val="003133D0"/>
    <w:rsid w:val="003157FE"/>
    <w:rsid w:val="00315C54"/>
    <w:rsid w:val="003165FB"/>
    <w:rsid w:val="00316813"/>
    <w:rsid w:val="00316B11"/>
    <w:rsid w:val="00316BE2"/>
    <w:rsid w:val="00316E7C"/>
    <w:rsid w:val="00321EDF"/>
    <w:rsid w:val="003222AB"/>
    <w:rsid w:val="00322D9E"/>
    <w:rsid w:val="003241FD"/>
    <w:rsid w:val="00326C61"/>
    <w:rsid w:val="00330D8B"/>
    <w:rsid w:val="003317CD"/>
    <w:rsid w:val="00331D64"/>
    <w:rsid w:val="00333522"/>
    <w:rsid w:val="00333C22"/>
    <w:rsid w:val="00333F83"/>
    <w:rsid w:val="00334438"/>
    <w:rsid w:val="00334E14"/>
    <w:rsid w:val="00334F45"/>
    <w:rsid w:val="003350EA"/>
    <w:rsid w:val="003368FE"/>
    <w:rsid w:val="00340440"/>
    <w:rsid w:val="003412E8"/>
    <w:rsid w:val="00341C43"/>
    <w:rsid w:val="003427D1"/>
    <w:rsid w:val="00342F37"/>
    <w:rsid w:val="00344529"/>
    <w:rsid w:val="00345C74"/>
    <w:rsid w:val="0034604D"/>
    <w:rsid w:val="003508AC"/>
    <w:rsid w:val="00350D3A"/>
    <w:rsid w:val="00351712"/>
    <w:rsid w:val="00352E7E"/>
    <w:rsid w:val="00353380"/>
    <w:rsid w:val="0035396A"/>
    <w:rsid w:val="00353BF5"/>
    <w:rsid w:val="00354A04"/>
    <w:rsid w:val="00355EAB"/>
    <w:rsid w:val="00356377"/>
    <w:rsid w:val="00361323"/>
    <w:rsid w:val="0036247B"/>
    <w:rsid w:val="00362BB4"/>
    <w:rsid w:val="00363BF7"/>
    <w:rsid w:val="0036749B"/>
    <w:rsid w:val="00367D7D"/>
    <w:rsid w:val="00367F37"/>
    <w:rsid w:val="003702CC"/>
    <w:rsid w:val="00370CE2"/>
    <w:rsid w:val="00373353"/>
    <w:rsid w:val="00373DF8"/>
    <w:rsid w:val="003744E7"/>
    <w:rsid w:val="00374961"/>
    <w:rsid w:val="00376300"/>
    <w:rsid w:val="003768CD"/>
    <w:rsid w:val="00376E1A"/>
    <w:rsid w:val="00381AAA"/>
    <w:rsid w:val="00381B9B"/>
    <w:rsid w:val="00382711"/>
    <w:rsid w:val="00383E79"/>
    <w:rsid w:val="00384776"/>
    <w:rsid w:val="0038478D"/>
    <w:rsid w:val="003848E1"/>
    <w:rsid w:val="00384B1D"/>
    <w:rsid w:val="00384B6D"/>
    <w:rsid w:val="00385A86"/>
    <w:rsid w:val="00386655"/>
    <w:rsid w:val="00387229"/>
    <w:rsid w:val="00390E98"/>
    <w:rsid w:val="0039336A"/>
    <w:rsid w:val="003935BB"/>
    <w:rsid w:val="0039436A"/>
    <w:rsid w:val="003A0A80"/>
    <w:rsid w:val="003A0CC0"/>
    <w:rsid w:val="003A0EAE"/>
    <w:rsid w:val="003A2171"/>
    <w:rsid w:val="003A241E"/>
    <w:rsid w:val="003A2D2B"/>
    <w:rsid w:val="003A44F2"/>
    <w:rsid w:val="003A4841"/>
    <w:rsid w:val="003A6D59"/>
    <w:rsid w:val="003B0F5D"/>
    <w:rsid w:val="003B1445"/>
    <w:rsid w:val="003B1CFA"/>
    <w:rsid w:val="003B415E"/>
    <w:rsid w:val="003B6B5A"/>
    <w:rsid w:val="003B7052"/>
    <w:rsid w:val="003C0194"/>
    <w:rsid w:val="003C02C8"/>
    <w:rsid w:val="003C0897"/>
    <w:rsid w:val="003C0A9C"/>
    <w:rsid w:val="003C0B09"/>
    <w:rsid w:val="003C304A"/>
    <w:rsid w:val="003C34D4"/>
    <w:rsid w:val="003C45F5"/>
    <w:rsid w:val="003C5842"/>
    <w:rsid w:val="003C5B08"/>
    <w:rsid w:val="003C6373"/>
    <w:rsid w:val="003C7D14"/>
    <w:rsid w:val="003D16EF"/>
    <w:rsid w:val="003D21DC"/>
    <w:rsid w:val="003D2CEA"/>
    <w:rsid w:val="003D2ED9"/>
    <w:rsid w:val="003D4C10"/>
    <w:rsid w:val="003D55B2"/>
    <w:rsid w:val="003D5DBA"/>
    <w:rsid w:val="003D6418"/>
    <w:rsid w:val="003D6FE3"/>
    <w:rsid w:val="003D773C"/>
    <w:rsid w:val="003E08F8"/>
    <w:rsid w:val="003E0EA0"/>
    <w:rsid w:val="003E1143"/>
    <w:rsid w:val="003E1318"/>
    <w:rsid w:val="003E1C57"/>
    <w:rsid w:val="003E1FD2"/>
    <w:rsid w:val="003E243E"/>
    <w:rsid w:val="003E2A3E"/>
    <w:rsid w:val="003E4F7B"/>
    <w:rsid w:val="003E5DEC"/>
    <w:rsid w:val="003E67DD"/>
    <w:rsid w:val="003E6E54"/>
    <w:rsid w:val="003E701F"/>
    <w:rsid w:val="003E7FF2"/>
    <w:rsid w:val="003F040D"/>
    <w:rsid w:val="003F21B4"/>
    <w:rsid w:val="003F361A"/>
    <w:rsid w:val="003F3C0F"/>
    <w:rsid w:val="00402E66"/>
    <w:rsid w:val="00403C77"/>
    <w:rsid w:val="00404EF2"/>
    <w:rsid w:val="0040540D"/>
    <w:rsid w:val="0040630F"/>
    <w:rsid w:val="00407A3B"/>
    <w:rsid w:val="00412746"/>
    <w:rsid w:val="004138C0"/>
    <w:rsid w:val="00413E73"/>
    <w:rsid w:val="004149A7"/>
    <w:rsid w:val="00414AD3"/>
    <w:rsid w:val="00414D1C"/>
    <w:rsid w:val="004177DF"/>
    <w:rsid w:val="00417A0B"/>
    <w:rsid w:val="004201CE"/>
    <w:rsid w:val="00420C33"/>
    <w:rsid w:val="004213CD"/>
    <w:rsid w:val="00421D48"/>
    <w:rsid w:val="004229A5"/>
    <w:rsid w:val="00422E44"/>
    <w:rsid w:val="004237CC"/>
    <w:rsid w:val="00423862"/>
    <w:rsid w:val="00424280"/>
    <w:rsid w:val="0042479B"/>
    <w:rsid w:val="00424D53"/>
    <w:rsid w:val="0042633D"/>
    <w:rsid w:val="00426A8E"/>
    <w:rsid w:val="00430EC4"/>
    <w:rsid w:val="00431713"/>
    <w:rsid w:val="00432129"/>
    <w:rsid w:val="00433BC8"/>
    <w:rsid w:val="00434277"/>
    <w:rsid w:val="0043477D"/>
    <w:rsid w:val="004352FC"/>
    <w:rsid w:val="00435316"/>
    <w:rsid w:val="00440036"/>
    <w:rsid w:val="00440BC0"/>
    <w:rsid w:val="0044235E"/>
    <w:rsid w:val="0044273C"/>
    <w:rsid w:val="00442AC9"/>
    <w:rsid w:val="00442D9D"/>
    <w:rsid w:val="004432CE"/>
    <w:rsid w:val="00444387"/>
    <w:rsid w:val="004474F7"/>
    <w:rsid w:val="00447AF6"/>
    <w:rsid w:val="004504DF"/>
    <w:rsid w:val="00451ED3"/>
    <w:rsid w:val="00452ED3"/>
    <w:rsid w:val="0045793A"/>
    <w:rsid w:val="00457CF8"/>
    <w:rsid w:val="00460DAE"/>
    <w:rsid w:val="004616F9"/>
    <w:rsid w:val="0046406E"/>
    <w:rsid w:val="004652C5"/>
    <w:rsid w:val="004658B0"/>
    <w:rsid w:val="0046631F"/>
    <w:rsid w:val="00467762"/>
    <w:rsid w:val="004705AB"/>
    <w:rsid w:val="00470681"/>
    <w:rsid w:val="004727ED"/>
    <w:rsid w:val="00472AA3"/>
    <w:rsid w:val="00472DF0"/>
    <w:rsid w:val="00472F14"/>
    <w:rsid w:val="00473A7F"/>
    <w:rsid w:val="0047474E"/>
    <w:rsid w:val="00476DBC"/>
    <w:rsid w:val="00477922"/>
    <w:rsid w:val="00477BEB"/>
    <w:rsid w:val="0048037C"/>
    <w:rsid w:val="00481BD3"/>
    <w:rsid w:val="00482643"/>
    <w:rsid w:val="00482CF3"/>
    <w:rsid w:val="004830EB"/>
    <w:rsid w:val="0048355A"/>
    <w:rsid w:val="0048385E"/>
    <w:rsid w:val="0048477E"/>
    <w:rsid w:val="00485093"/>
    <w:rsid w:val="00485737"/>
    <w:rsid w:val="00485926"/>
    <w:rsid w:val="00485E51"/>
    <w:rsid w:val="00487214"/>
    <w:rsid w:val="00487BF0"/>
    <w:rsid w:val="004915A5"/>
    <w:rsid w:val="00491751"/>
    <w:rsid w:val="00491891"/>
    <w:rsid w:val="0049202C"/>
    <w:rsid w:val="004923F2"/>
    <w:rsid w:val="00494253"/>
    <w:rsid w:val="00497013"/>
    <w:rsid w:val="0049730A"/>
    <w:rsid w:val="004A1ADE"/>
    <w:rsid w:val="004A226D"/>
    <w:rsid w:val="004A3701"/>
    <w:rsid w:val="004A5573"/>
    <w:rsid w:val="004A644C"/>
    <w:rsid w:val="004A6E6F"/>
    <w:rsid w:val="004B3742"/>
    <w:rsid w:val="004B439E"/>
    <w:rsid w:val="004B4F50"/>
    <w:rsid w:val="004B5F4A"/>
    <w:rsid w:val="004B739A"/>
    <w:rsid w:val="004C0215"/>
    <w:rsid w:val="004C05EC"/>
    <w:rsid w:val="004C0A92"/>
    <w:rsid w:val="004C0CB6"/>
    <w:rsid w:val="004C157C"/>
    <w:rsid w:val="004C199C"/>
    <w:rsid w:val="004C1DD2"/>
    <w:rsid w:val="004C2D2E"/>
    <w:rsid w:val="004C357D"/>
    <w:rsid w:val="004C3975"/>
    <w:rsid w:val="004C3F28"/>
    <w:rsid w:val="004C4826"/>
    <w:rsid w:val="004C4B24"/>
    <w:rsid w:val="004C4B5C"/>
    <w:rsid w:val="004C586C"/>
    <w:rsid w:val="004C626D"/>
    <w:rsid w:val="004C73CE"/>
    <w:rsid w:val="004C781E"/>
    <w:rsid w:val="004C796E"/>
    <w:rsid w:val="004D088B"/>
    <w:rsid w:val="004D1639"/>
    <w:rsid w:val="004D2666"/>
    <w:rsid w:val="004D30D0"/>
    <w:rsid w:val="004D3AEC"/>
    <w:rsid w:val="004D4DC1"/>
    <w:rsid w:val="004E06BE"/>
    <w:rsid w:val="004E15C2"/>
    <w:rsid w:val="004E2DA9"/>
    <w:rsid w:val="004E4171"/>
    <w:rsid w:val="004E6068"/>
    <w:rsid w:val="004E7664"/>
    <w:rsid w:val="004E7C32"/>
    <w:rsid w:val="004F07CC"/>
    <w:rsid w:val="004F0C16"/>
    <w:rsid w:val="004F52DC"/>
    <w:rsid w:val="004F5904"/>
    <w:rsid w:val="004F632B"/>
    <w:rsid w:val="004F6612"/>
    <w:rsid w:val="004F6C49"/>
    <w:rsid w:val="004F7431"/>
    <w:rsid w:val="004F7509"/>
    <w:rsid w:val="004F7C94"/>
    <w:rsid w:val="005002CF"/>
    <w:rsid w:val="005011B6"/>
    <w:rsid w:val="00501F21"/>
    <w:rsid w:val="00501FAF"/>
    <w:rsid w:val="00503331"/>
    <w:rsid w:val="0050421C"/>
    <w:rsid w:val="00504CD9"/>
    <w:rsid w:val="00506396"/>
    <w:rsid w:val="00507C22"/>
    <w:rsid w:val="00511BCC"/>
    <w:rsid w:val="00512383"/>
    <w:rsid w:val="00514237"/>
    <w:rsid w:val="00514335"/>
    <w:rsid w:val="0051497B"/>
    <w:rsid w:val="00514EA0"/>
    <w:rsid w:val="0051538E"/>
    <w:rsid w:val="00515757"/>
    <w:rsid w:val="005159BB"/>
    <w:rsid w:val="00515C6C"/>
    <w:rsid w:val="00517054"/>
    <w:rsid w:val="005170CB"/>
    <w:rsid w:val="005178F7"/>
    <w:rsid w:val="00521553"/>
    <w:rsid w:val="0052240E"/>
    <w:rsid w:val="00522499"/>
    <w:rsid w:val="00522BED"/>
    <w:rsid w:val="00522CB3"/>
    <w:rsid w:val="005255F4"/>
    <w:rsid w:val="00525D3B"/>
    <w:rsid w:val="00527388"/>
    <w:rsid w:val="00527888"/>
    <w:rsid w:val="00527D95"/>
    <w:rsid w:val="0053011F"/>
    <w:rsid w:val="00530FB8"/>
    <w:rsid w:val="00531538"/>
    <w:rsid w:val="00531F9B"/>
    <w:rsid w:val="00533581"/>
    <w:rsid w:val="00535EFE"/>
    <w:rsid w:val="00536474"/>
    <w:rsid w:val="005405D7"/>
    <w:rsid w:val="005420E9"/>
    <w:rsid w:val="0054231A"/>
    <w:rsid w:val="00542DE0"/>
    <w:rsid w:val="00542EA2"/>
    <w:rsid w:val="0054321C"/>
    <w:rsid w:val="00543643"/>
    <w:rsid w:val="00544CDB"/>
    <w:rsid w:val="00547291"/>
    <w:rsid w:val="00547F62"/>
    <w:rsid w:val="00551079"/>
    <w:rsid w:val="00553019"/>
    <w:rsid w:val="0055402B"/>
    <w:rsid w:val="0055408A"/>
    <w:rsid w:val="005577AC"/>
    <w:rsid w:val="00557B8D"/>
    <w:rsid w:val="00560DFF"/>
    <w:rsid w:val="00561C0D"/>
    <w:rsid w:val="00566663"/>
    <w:rsid w:val="00567EC2"/>
    <w:rsid w:val="00571507"/>
    <w:rsid w:val="00571636"/>
    <w:rsid w:val="00571E35"/>
    <w:rsid w:val="00572981"/>
    <w:rsid w:val="00572E1A"/>
    <w:rsid w:val="005748F7"/>
    <w:rsid w:val="00575E6A"/>
    <w:rsid w:val="00577277"/>
    <w:rsid w:val="0057734E"/>
    <w:rsid w:val="00577982"/>
    <w:rsid w:val="00577A85"/>
    <w:rsid w:val="00580E18"/>
    <w:rsid w:val="00581A35"/>
    <w:rsid w:val="00582BFC"/>
    <w:rsid w:val="00583D50"/>
    <w:rsid w:val="00585124"/>
    <w:rsid w:val="005877F9"/>
    <w:rsid w:val="005903DB"/>
    <w:rsid w:val="00590579"/>
    <w:rsid w:val="005945F5"/>
    <w:rsid w:val="0059474F"/>
    <w:rsid w:val="00594FA3"/>
    <w:rsid w:val="00594FE5"/>
    <w:rsid w:val="005A2C68"/>
    <w:rsid w:val="005A30C8"/>
    <w:rsid w:val="005A7520"/>
    <w:rsid w:val="005A7BF8"/>
    <w:rsid w:val="005B124A"/>
    <w:rsid w:val="005B2195"/>
    <w:rsid w:val="005B4516"/>
    <w:rsid w:val="005B5E3A"/>
    <w:rsid w:val="005C0CAE"/>
    <w:rsid w:val="005C1F75"/>
    <w:rsid w:val="005C38BB"/>
    <w:rsid w:val="005C4674"/>
    <w:rsid w:val="005C470F"/>
    <w:rsid w:val="005C57A8"/>
    <w:rsid w:val="005C591A"/>
    <w:rsid w:val="005C6896"/>
    <w:rsid w:val="005C7271"/>
    <w:rsid w:val="005C7602"/>
    <w:rsid w:val="005C7D86"/>
    <w:rsid w:val="005D15F4"/>
    <w:rsid w:val="005D2209"/>
    <w:rsid w:val="005D3BEE"/>
    <w:rsid w:val="005D452F"/>
    <w:rsid w:val="005D54DE"/>
    <w:rsid w:val="005D5615"/>
    <w:rsid w:val="005E14F8"/>
    <w:rsid w:val="005E17CB"/>
    <w:rsid w:val="005E1DE9"/>
    <w:rsid w:val="005E3280"/>
    <w:rsid w:val="005E3BAD"/>
    <w:rsid w:val="005E4CAE"/>
    <w:rsid w:val="005E7160"/>
    <w:rsid w:val="005F187C"/>
    <w:rsid w:val="005F3191"/>
    <w:rsid w:val="005F3757"/>
    <w:rsid w:val="005F4019"/>
    <w:rsid w:val="005F4E0A"/>
    <w:rsid w:val="005F4EBF"/>
    <w:rsid w:val="005F57C7"/>
    <w:rsid w:val="005F5926"/>
    <w:rsid w:val="005F656A"/>
    <w:rsid w:val="005F671E"/>
    <w:rsid w:val="005F73C3"/>
    <w:rsid w:val="005F76C2"/>
    <w:rsid w:val="005F7B9A"/>
    <w:rsid w:val="0060148A"/>
    <w:rsid w:val="0060216F"/>
    <w:rsid w:val="00603C74"/>
    <w:rsid w:val="00603D16"/>
    <w:rsid w:val="00604E50"/>
    <w:rsid w:val="0060637A"/>
    <w:rsid w:val="00607299"/>
    <w:rsid w:val="00607F9F"/>
    <w:rsid w:val="00610159"/>
    <w:rsid w:val="0061285A"/>
    <w:rsid w:val="00612E42"/>
    <w:rsid w:val="00613FB2"/>
    <w:rsid w:val="00614670"/>
    <w:rsid w:val="00615487"/>
    <w:rsid w:val="00616094"/>
    <w:rsid w:val="00616BBA"/>
    <w:rsid w:val="00620116"/>
    <w:rsid w:val="00620382"/>
    <w:rsid w:val="006214AD"/>
    <w:rsid w:val="006230F4"/>
    <w:rsid w:val="00623DA4"/>
    <w:rsid w:val="00625E09"/>
    <w:rsid w:val="00625F7A"/>
    <w:rsid w:val="00626085"/>
    <w:rsid w:val="006274AF"/>
    <w:rsid w:val="00627921"/>
    <w:rsid w:val="00630358"/>
    <w:rsid w:val="00630D55"/>
    <w:rsid w:val="00632920"/>
    <w:rsid w:val="0063593E"/>
    <w:rsid w:val="0063737B"/>
    <w:rsid w:val="0064018F"/>
    <w:rsid w:val="00640294"/>
    <w:rsid w:val="00640F8E"/>
    <w:rsid w:val="006433A7"/>
    <w:rsid w:val="00644D68"/>
    <w:rsid w:val="00646030"/>
    <w:rsid w:val="0064713F"/>
    <w:rsid w:val="00647558"/>
    <w:rsid w:val="006477D5"/>
    <w:rsid w:val="0064789B"/>
    <w:rsid w:val="006503A4"/>
    <w:rsid w:val="00650851"/>
    <w:rsid w:val="00651233"/>
    <w:rsid w:val="00651770"/>
    <w:rsid w:val="00652F69"/>
    <w:rsid w:val="0065700D"/>
    <w:rsid w:val="00661524"/>
    <w:rsid w:val="00661ACA"/>
    <w:rsid w:val="00661FCE"/>
    <w:rsid w:val="00662C18"/>
    <w:rsid w:val="00664705"/>
    <w:rsid w:val="0067065D"/>
    <w:rsid w:val="00672233"/>
    <w:rsid w:val="00672859"/>
    <w:rsid w:val="006739D3"/>
    <w:rsid w:val="00674B90"/>
    <w:rsid w:val="00675016"/>
    <w:rsid w:val="00675C35"/>
    <w:rsid w:val="00676143"/>
    <w:rsid w:val="00677FBE"/>
    <w:rsid w:val="00680935"/>
    <w:rsid w:val="00683661"/>
    <w:rsid w:val="00683D4A"/>
    <w:rsid w:val="0068412D"/>
    <w:rsid w:val="0068479A"/>
    <w:rsid w:val="00685378"/>
    <w:rsid w:val="00685756"/>
    <w:rsid w:val="00686940"/>
    <w:rsid w:val="00686D43"/>
    <w:rsid w:val="00687392"/>
    <w:rsid w:val="006878A5"/>
    <w:rsid w:val="006914FE"/>
    <w:rsid w:val="00691AB8"/>
    <w:rsid w:val="00692D17"/>
    <w:rsid w:val="00693E3D"/>
    <w:rsid w:val="006954A3"/>
    <w:rsid w:val="00695ADB"/>
    <w:rsid w:val="00696830"/>
    <w:rsid w:val="0069731E"/>
    <w:rsid w:val="00697C6E"/>
    <w:rsid w:val="006A289D"/>
    <w:rsid w:val="006A33CB"/>
    <w:rsid w:val="006A3556"/>
    <w:rsid w:val="006A4FC0"/>
    <w:rsid w:val="006A50B1"/>
    <w:rsid w:val="006A62BE"/>
    <w:rsid w:val="006A699E"/>
    <w:rsid w:val="006A75DB"/>
    <w:rsid w:val="006A7BAF"/>
    <w:rsid w:val="006B042A"/>
    <w:rsid w:val="006B1B6D"/>
    <w:rsid w:val="006B2A21"/>
    <w:rsid w:val="006B3624"/>
    <w:rsid w:val="006B64BA"/>
    <w:rsid w:val="006B697B"/>
    <w:rsid w:val="006C19FD"/>
    <w:rsid w:val="006C2781"/>
    <w:rsid w:val="006C31C6"/>
    <w:rsid w:val="006C324A"/>
    <w:rsid w:val="006C3C82"/>
    <w:rsid w:val="006C470A"/>
    <w:rsid w:val="006C6637"/>
    <w:rsid w:val="006D019E"/>
    <w:rsid w:val="006D06D8"/>
    <w:rsid w:val="006D08B9"/>
    <w:rsid w:val="006D0E29"/>
    <w:rsid w:val="006D1B6C"/>
    <w:rsid w:val="006D2A8C"/>
    <w:rsid w:val="006D311B"/>
    <w:rsid w:val="006D351D"/>
    <w:rsid w:val="006D3FD7"/>
    <w:rsid w:val="006D4F90"/>
    <w:rsid w:val="006D5038"/>
    <w:rsid w:val="006D65EC"/>
    <w:rsid w:val="006D70C8"/>
    <w:rsid w:val="006D7A2D"/>
    <w:rsid w:val="006E375E"/>
    <w:rsid w:val="006E53E3"/>
    <w:rsid w:val="006E549C"/>
    <w:rsid w:val="006E5748"/>
    <w:rsid w:val="006E6859"/>
    <w:rsid w:val="006E757B"/>
    <w:rsid w:val="006E78A1"/>
    <w:rsid w:val="006E7C53"/>
    <w:rsid w:val="006E7F77"/>
    <w:rsid w:val="006F07A9"/>
    <w:rsid w:val="006F1047"/>
    <w:rsid w:val="006F1734"/>
    <w:rsid w:val="006F1773"/>
    <w:rsid w:val="006F2111"/>
    <w:rsid w:val="006F2C4A"/>
    <w:rsid w:val="006F3539"/>
    <w:rsid w:val="006F5F7F"/>
    <w:rsid w:val="006F64AE"/>
    <w:rsid w:val="006F6763"/>
    <w:rsid w:val="006F761C"/>
    <w:rsid w:val="006F7A5E"/>
    <w:rsid w:val="00700A69"/>
    <w:rsid w:val="00700B86"/>
    <w:rsid w:val="007020A4"/>
    <w:rsid w:val="0070295E"/>
    <w:rsid w:val="00702F3D"/>
    <w:rsid w:val="0070306F"/>
    <w:rsid w:val="00703722"/>
    <w:rsid w:val="00703892"/>
    <w:rsid w:val="00705CD8"/>
    <w:rsid w:val="00705D04"/>
    <w:rsid w:val="00707E76"/>
    <w:rsid w:val="00707FA3"/>
    <w:rsid w:val="007102AF"/>
    <w:rsid w:val="00710B89"/>
    <w:rsid w:val="00712034"/>
    <w:rsid w:val="0071545D"/>
    <w:rsid w:val="00715486"/>
    <w:rsid w:val="00715BDC"/>
    <w:rsid w:val="00715F48"/>
    <w:rsid w:val="00721CD3"/>
    <w:rsid w:val="00721DF0"/>
    <w:rsid w:val="00722E5E"/>
    <w:rsid w:val="00723347"/>
    <w:rsid w:val="00723AE2"/>
    <w:rsid w:val="00725F7D"/>
    <w:rsid w:val="007261FB"/>
    <w:rsid w:val="007270FD"/>
    <w:rsid w:val="0072751F"/>
    <w:rsid w:val="00727805"/>
    <w:rsid w:val="0073104B"/>
    <w:rsid w:val="00731EFB"/>
    <w:rsid w:val="007348E8"/>
    <w:rsid w:val="007348EA"/>
    <w:rsid w:val="00735EC7"/>
    <w:rsid w:val="00736002"/>
    <w:rsid w:val="0073662F"/>
    <w:rsid w:val="0073680A"/>
    <w:rsid w:val="0074186E"/>
    <w:rsid w:val="007418DC"/>
    <w:rsid w:val="00741E6A"/>
    <w:rsid w:val="00741E6F"/>
    <w:rsid w:val="0074213D"/>
    <w:rsid w:val="00742A97"/>
    <w:rsid w:val="00742C5B"/>
    <w:rsid w:val="0074369E"/>
    <w:rsid w:val="007447C5"/>
    <w:rsid w:val="00744B34"/>
    <w:rsid w:val="00744EAF"/>
    <w:rsid w:val="00745C5A"/>
    <w:rsid w:val="007464B0"/>
    <w:rsid w:val="00746EC9"/>
    <w:rsid w:val="00747284"/>
    <w:rsid w:val="0074733B"/>
    <w:rsid w:val="00747B49"/>
    <w:rsid w:val="00747F26"/>
    <w:rsid w:val="00750E48"/>
    <w:rsid w:val="007513C9"/>
    <w:rsid w:val="00751C20"/>
    <w:rsid w:val="00752D28"/>
    <w:rsid w:val="00752E26"/>
    <w:rsid w:val="00752F83"/>
    <w:rsid w:val="00755261"/>
    <w:rsid w:val="00755A84"/>
    <w:rsid w:val="00755ACA"/>
    <w:rsid w:val="00755FC3"/>
    <w:rsid w:val="00756E16"/>
    <w:rsid w:val="00757196"/>
    <w:rsid w:val="00757469"/>
    <w:rsid w:val="00760A84"/>
    <w:rsid w:val="00764B7E"/>
    <w:rsid w:val="00764EE1"/>
    <w:rsid w:val="007656AC"/>
    <w:rsid w:val="007666E3"/>
    <w:rsid w:val="007724D1"/>
    <w:rsid w:val="0077350D"/>
    <w:rsid w:val="00773EF6"/>
    <w:rsid w:val="007755FF"/>
    <w:rsid w:val="00775D51"/>
    <w:rsid w:val="00776041"/>
    <w:rsid w:val="00780088"/>
    <w:rsid w:val="007805A0"/>
    <w:rsid w:val="00780CA3"/>
    <w:rsid w:val="00780EE5"/>
    <w:rsid w:val="00781577"/>
    <w:rsid w:val="00781E81"/>
    <w:rsid w:val="007820A7"/>
    <w:rsid w:val="00782FFE"/>
    <w:rsid w:val="00783907"/>
    <w:rsid w:val="00783F46"/>
    <w:rsid w:val="00784615"/>
    <w:rsid w:val="007902BB"/>
    <w:rsid w:val="007916CC"/>
    <w:rsid w:val="00791FDD"/>
    <w:rsid w:val="00792BC2"/>
    <w:rsid w:val="00793299"/>
    <w:rsid w:val="00794A21"/>
    <w:rsid w:val="0079513D"/>
    <w:rsid w:val="00796891"/>
    <w:rsid w:val="00796FB2"/>
    <w:rsid w:val="00796FED"/>
    <w:rsid w:val="007A00D5"/>
    <w:rsid w:val="007A1450"/>
    <w:rsid w:val="007A1525"/>
    <w:rsid w:val="007A2339"/>
    <w:rsid w:val="007A4994"/>
    <w:rsid w:val="007A52FB"/>
    <w:rsid w:val="007B0C95"/>
    <w:rsid w:val="007B0FBE"/>
    <w:rsid w:val="007B2AC2"/>
    <w:rsid w:val="007B45B3"/>
    <w:rsid w:val="007B5D12"/>
    <w:rsid w:val="007B6D02"/>
    <w:rsid w:val="007B79D4"/>
    <w:rsid w:val="007C0727"/>
    <w:rsid w:val="007C0F6E"/>
    <w:rsid w:val="007C1255"/>
    <w:rsid w:val="007C2940"/>
    <w:rsid w:val="007C29C4"/>
    <w:rsid w:val="007C3010"/>
    <w:rsid w:val="007C4800"/>
    <w:rsid w:val="007C4DFF"/>
    <w:rsid w:val="007C5BFC"/>
    <w:rsid w:val="007C6379"/>
    <w:rsid w:val="007C76EA"/>
    <w:rsid w:val="007D0A0A"/>
    <w:rsid w:val="007D1785"/>
    <w:rsid w:val="007D2430"/>
    <w:rsid w:val="007D24AE"/>
    <w:rsid w:val="007D309D"/>
    <w:rsid w:val="007D34B5"/>
    <w:rsid w:val="007D5AA9"/>
    <w:rsid w:val="007D7780"/>
    <w:rsid w:val="007D7B9F"/>
    <w:rsid w:val="007E0F2B"/>
    <w:rsid w:val="007E1680"/>
    <w:rsid w:val="007E3A2D"/>
    <w:rsid w:val="007E40D7"/>
    <w:rsid w:val="007E49F7"/>
    <w:rsid w:val="007E4C4C"/>
    <w:rsid w:val="007E5530"/>
    <w:rsid w:val="007E553E"/>
    <w:rsid w:val="007E5A75"/>
    <w:rsid w:val="007E60F2"/>
    <w:rsid w:val="007E66D7"/>
    <w:rsid w:val="007E6B9D"/>
    <w:rsid w:val="007E722E"/>
    <w:rsid w:val="007E7B47"/>
    <w:rsid w:val="007F014A"/>
    <w:rsid w:val="007F01BD"/>
    <w:rsid w:val="007F07EF"/>
    <w:rsid w:val="007F1415"/>
    <w:rsid w:val="007F1CB8"/>
    <w:rsid w:val="007F2030"/>
    <w:rsid w:val="007F3778"/>
    <w:rsid w:val="007F4693"/>
    <w:rsid w:val="007F5CAE"/>
    <w:rsid w:val="0080002B"/>
    <w:rsid w:val="00800481"/>
    <w:rsid w:val="008007EF"/>
    <w:rsid w:val="008013A6"/>
    <w:rsid w:val="008014AF"/>
    <w:rsid w:val="00803BE0"/>
    <w:rsid w:val="00804379"/>
    <w:rsid w:val="00806F7F"/>
    <w:rsid w:val="008117B6"/>
    <w:rsid w:val="008117EB"/>
    <w:rsid w:val="00813559"/>
    <w:rsid w:val="0081486A"/>
    <w:rsid w:val="00815DC9"/>
    <w:rsid w:val="0081622D"/>
    <w:rsid w:val="00816937"/>
    <w:rsid w:val="0081706A"/>
    <w:rsid w:val="00817207"/>
    <w:rsid w:val="00817735"/>
    <w:rsid w:val="00817930"/>
    <w:rsid w:val="008208E4"/>
    <w:rsid w:val="0082096F"/>
    <w:rsid w:val="00821006"/>
    <w:rsid w:val="00821278"/>
    <w:rsid w:val="00823366"/>
    <w:rsid w:val="0082442F"/>
    <w:rsid w:val="008262C0"/>
    <w:rsid w:val="00826DD5"/>
    <w:rsid w:val="008274E0"/>
    <w:rsid w:val="0082752A"/>
    <w:rsid w:val="008306E8"/>
    <w:rsid w:val="00831C2E"/>
    <w:rsid w:val="008342AE"/>
    <w:rsid w:val="0083450C"/>
    <w:rsid w:val="0083607A"/>
    <w:rsid w:val="008360C4"/>
    <w:rsid w:val="0083685D"/>
    <w:rsid w:val="00836CAE"/>
    <w:rsid w:val="00837CBD"/>
    <w:rsid w:val="00837D5F"/>
    <w:rsid w:val="00837D6E"/>
    <w:rsid w:val="008407BD"/>
    <w:rsid w:val="00840D4A"/>
    <w:rsid w:val="008410D7"/>
    <w:rsid w:val="008414A9"/>
    <w:rsid w:val="008415A6"/>
    <w:rsid w:val="00841D88"/>
    <w:rsid w:val="00842A74"/>
    <w:rsid w:val="00842DC5"/>
    <w:rsid w:val="00844891"/>
    <w:rsid w:val="0084520F"/>
    <w:rsid w:val="0084546A"/>
    <w:rsid w:val="008457E4"/>
    <w:rsid w:val="00845809"/>
    <w:rsid w:val="008460FC"/>
    <w:rsid w:val="00846609"/>
    <w:rsid w:val="00846DF3"/>
    <w:rsid w:val="00847DF8"/>
    <w:rsid w:val="00850D1F"/>
    <w:rsid w:val="008531B0"/>
    <w:rsid w:val="008546BB"/>
    <w:rsid w:val="00854B49"/>
    <w:rsid w:val="00855B98"/>
    <w:rsid w:val="00855E91"/>
    <w:rsid w:val="00855FF3"/>
    <w:rsid w:val="008567D4"/>
    <w:rsid w:val="00860051"/>
    <w:rsid w:val="0086075B"/>
    <w:rsid w:val="00860F20"/>
    <w:rsid w:val="00861A52"/>
    <w:rsid w:val="008622A3"/>
    <w:rsid w:val="00865BD0"/>
    <w:rsid w:val="00865CF6"/>
    <w:rsid w:val="00867439"/>
    <w:rsid w:val="0087039A"/>
    <w:rsid w:val="008716AD"/>
    <w:rsid w:val="00871BF9"/>
    <w:rsid w:val="008726F4"/>
    <w:rsid w:val="00872881"/>
    <w:rsid w:val="00872D1F"/>
    <w:rsid w:val="0087526A"/>
    <w:rsid w:val="008766C9"/>
    <w:rsid w:val="00876FF1"/>
    <w:rsid w:val="008770DA"/>
    <w:rsid w:val="00877EB2"/>
    <w:rsid w:val="0088000D"/>
    <w:rsid w:val="00880578"/>
    <w:rsid w:val="00880997"/>
    <w:rsid w:val="0088196C"/>
    <w:rsid w:val="0088204E"/>
    <w:rsid w:val="008821EF"/>
    <w:rsid w:val="0088314B"/>
    <w:rsid w:val="0088371D"/>
    <w:rsid w:val="008848FD"/>
    <w:rsid w:val="008855EA"/>
    <w:rsid w:val="0088761D"/>
    <w:rsid w:val="00887CB0"/>
    <w:rsid w:val="0089109E"/>
    <w:rsid w:val="00893CA4"/>
    <w:rsid w:val="00894200"/>
    <w:rsid w:val="00895712"/>
    <w:rsid w:val="008963B8"/>
    <w:rsid w:val="008A065A"/>
    <w:rsid w:val="008A0A40"/>
    <w:rsid w:val="008A17F8"/>
    <w:rsid w:val="008A3AE3"/>
    <w:rsid w:val="008A3CC7"/>
    <w:rsid w:val="008A3F0F"/>
    <w:rsid w:val="008A45CD"/>
    <w:rsid w:val="008B0680"/>
    <w:rsid w:val="008B074E"/>
    <w:rsid w:val="008B37F7"/>
    <w:rsid w:val="008B3FC6"/>
    <w:rsid w:val="008B4970"/>
    <w:rsid w:val="008B4D9A"/>
    <w:rsid w:val="008B53B6"/>
    <w:rsid w:val="008B5D52"/>
    <w:rsid w:val="008B75EE"/>
    <w:rsid w:val="008B7DCB"/>
    <w:rsid w:val="008C1197"/>
    <w:rsid w:val="008C11E0"/>
    <w:rsid w:val="008C26BD"/>
    <w:rsid w:val="008C2CCC"/>
    <w:rsid w:val="008C2EBC"/>
    <w:rsid w:val="008C341F"/>
    <w:rsid w:val="008C4189"/>
    <w:rsid w:val="008C4FFA"/>
    <w:rsid w:val="008C7E6B"/>
    <w:rsid w:val="008D173F"/>
    <w:rsid w:val="008D185A"/>
    <w:rsid w:val="008D1F3D"/>
    <w:rsid w:val="008D24CB"/>
    <w:rsid w:val="008D2E2A"/>
    <w:rsid w:val="008D3F51"/>
    <w:rsid w:val="008D4245"/>
    <w:rsid w:val="008D4CED"/>
    <w:rsid w:val="008D5119"/>
    <w:rsid w:val="008D5F1C"/>
    <w:rsid w:val="008D6436"/>
    <w:rsid w:val="008D7D3F"/>
    <w:rsid w:val="008E03AA"/>
    <w:rsid w:val="008E0A18"/>
    <w:rsid w:val="008E16E0"/>
    <w:rsid w:val="008E1FB3"/>
    <w:rsid w:val="008E24AE"/>
    <w:rsid w:val="008E28CD"/>
    <w:rsid w:val="008E33BB"/>
    <w:rsid w:val="008E3989"/>
    <w:rsid w:val="008E4179"/>
    <w:rsid w:val="008F083C"/>
    <w:rsid w:val="008F188D"/>
    <w:rsid w:val="008F1E6B"/>
    <w:rsid w:val="008F31B4"/>
    <w:rsid w:val="008F333A"/>
    <w:rsid w:val="008F5109"/>
    <w:rsid w:val="008F53F2"/>
    <w:rsid w:val="008F5834"/>
    <w:rsid w:val="008F629C"/>
    <w:rsid w:val="00900269"/>
    <w:rsid w:val="00901AE5"/>
    <w:rsid w:val="00901EA5"/>
    <w:rsid w:val="00902138"/>
    <w:rsid w:val="00902BE0"/>
    <w:rsid w:val="00903DFE"/>
    <w:rsid w:val="00906186"/>
    <w:rsid w:val="00906E5C"/>
    <w:rsid w:val="00910998"/>
    <w:rsid w:val="00911107"/>
    <w:rsid w:val="00911503"/>
    <w:rsid w:val="00911DDD"/>
    <w:rsid w:val="00911EA7"/>
    <w:rsid w:val="00912140"/>
    <w:rsid w:val="00912E48"/>
    <w:rsid w:val="00914B24"/>
    <w:rsid w:val="009155F5"/>
    <w:rsid w:val="00916003"/>
    <w:rsid w:val="00916E5B"/>
    <w:rsid w:val="00917C5C"/>
    <w:rsid w:val="00920BF2"/>
    <w:rsid w:val="0092152C"/>
    <w:rsid w:val="00922529"/>
    <w:rsid w:val="00922C35"/>
    <w:rsid w:val="00924F53"/>
    <w:rsid w:val="009252C4"/>
    <w:rsid w:val="00926257"/>
    <w:rsid w:val="00927944"/>
    <w:rsid w:val="009305C6"/>
    <w:rsid w:val="0093176D"/>
    <w:rsid w:val="009333F4"/>
    <w:rsid w:val="009337CC"/>
    <w:rsid w:val="009356E4"/>
    <w:rsid w:val="00935E1B"/>
    <w:rsid w:val="0093601C"/>
    <w:rsid w:val="009368FE"/>
    <w:rsid w:val="009374B9"/>
    <w:rsid w:val="0093788C"/>
    <w:rsid w:val="00937B25"/>
    <w:rsid w:val="0094211A"/>
    <w:rsid w:val="009442B3"/>
    <w:rsid w:val="00944E78"/>
    <w:rsid w:val="00945121"/>
    <w:rsid w:val="009463D7"/>
    <w:rsid w:val="00946892"/>
    <w:rsid w:val="00947C1C"/>
    <w:rsid w:val="009506BC"/>
    <w:rsid w:val="009514A2"/>
    <w:rsid w:val="009514B2"/>
    <w:rsid w:val="0095187E"/>
    <w:rsid w:val="00952C66"/>
    <w:rsid w:val="009534D3"/>
    <w:rsid w:val="00953FCC"/>
    <w:rsid w:val="0095458D"/>
    <w:rsid w:val="009550DB"/>
    <w:rsid w:val="0095522C"/>
    <w:rsid w:val="00955341"/>
    <w:rsid w:val="009560C8"/>
    <w:rsid w:val="0096087C"/>
    <w:rsid w:val="0096129C"/>
    <w:rsid w:val="009625BE"/>
    <w:rsid w:val="00964072"/>
    <w:rsid w:val="009700BA"/>
    <w:rsid w:val="00972A40"/>
    <w:rsid w:val="0098009D"/>
    <w:rsid w:val="00980EAD"/>
    <w:rsid w:val="00981553"/>
    <w:rsid w:val="009836EC"/>
    <w:rsid w:val="009841E8"/>
    <w:rsid w:val="009842D5"/>
    <w:rsid w:val="0098493A"/>
    <w:rsid w:val="0098684D"/>
    <w:rsid w:val="0098759A"/>
    <w:rsid w:val="00987B42"/>
    <w:rsid w:val="00991E05"/>
    <w:rsid w:val="009931A2"/>
    <w:rsid w:val="00993B4B"/>
    <w:rsid w:val="00993BF2"/>
    <w:rsid w:val="00994F7F"/>
    <w:rsid w:val="009960C6"/>
    <w:rsid w:val="009969DB"/>
    <w:rsid w:val="00996D0D"/>
    <w:rsid w:val="009A04AB"/>
    <w:rsid w:val="009A33B3"/>
    <w:rsid w:val="009A3A80"/>
    <w:rsid w:val="009A4D40"/>
    <w:rsid w:val="009A57E1"/>
    <w:rsid w:val="009A7AFE"/>
    <w:rsid w:val="009B1A65"/>
    <w:rsid w:val="009B1CED"/>
    <w:rsid w:val="009B4275"/>
    <w:rsid w:val="009B7BD3"/>
    <w:rsid w:val="009B7CB4"/>
    <w:rsid w:val="009C0D3C"/>
    <w:rsid w:val="009C0E8E"/>
    <w:rsid w:val="009C1B38"/>
    <w:rsid w:val="009C1EF0"/>
    <w:rsid w:val="009C22CE"/>
    <w:rsid w:val="009C2646"/>
    <w:rsid w:val="009C32E3"/>
    <w:rsid w:val="009C433A"/>
    <w:rsid w:val="009C5E18"/>
    <w:rsid w:val="009C5ED2"/>
    <w:rsid w:val="009C652E"/>
    <w:rsid w:val="009C76CE"/>
    <w:rsid w:val="009C7CED"/>
    <w:rsid w:val="009D0EA4"/>
    <w:rsid w:val="009D11D8"/>
    <w:rsid w:val="009D19BA"/>
    <w:rsid w:val="009D2C9F"/>
    <w:rsid w:val="009D2F91"/>
    <w:rsid w:val="009D3C6E"/>
    <w:rsid w:val="009D5237"/>
    <w:rsid w:val="009D5322"/>
    <w:rsid w:val="009D5810"/>
    <w:rsid w:val="009D5DEE"/>
    <w:rsid w:val="009D5FE9"/>
    <w:rsid w:val="009D63E8"/>
    <w:rsid w:val="009D6E50"/>
    <w:rsid w:val="009D7B30"/>
    <w:rsid w:val="009E1619"/>
    <w:rsid w:val="009E209F"/>
    <w:rsid w:val="009E232E"/>
    <w:rsid w:val="009E503C"/>
    <w:rsid w:val="009E6AA4"/>
    <w:rsid w:val="009E6BAC"/>
    <w:rsid w:val="009E7A5D"/>
    <w:rsid w:val="009E7CA9"/>
    <w:rsid w:val="009E7CF0"/>
    <w:rsid w:val="009E7F0E"/>
    <w:rsid w:val="009F006E"/>
    <w:rsid w:val="009F0697"/>
    <w:rsid w:val="009F1118"/>
    <w:rsid w:val="009F13ED"/>
    <w:rsid w:val="009F234B"/>
    <w:rsid w:val="009F2532"/>
    <w:rsid w:val="009F2878"/>
    <w:rsid w:val="009F4301"/>
    <w:rsid w:val="009F43DB"/>
    <w:rsid w:val="009F4AB7"/>
    <w:rsid w:val="009F50CA"/>
    <w:rsid w:val="009F6840"/>
    <w:rsid w:val="00A021AB"/>
    <w:rsid w:val="00A0358D"/>
    <w:rsid w:val="00A03B4B"/>
    <w:rsid w:val="00A03F02"/>
    <w:rsid w:val="00A050A9"/>
    <w:rsid w:val="00A067F6"/>
    <w:rsid w:val="00A06A77"/>
    <w:rsid w:val="00A06B39"/>
    <w:rsid w:val="00A10765"/>
    <w:rsid w:val="00A13A3E"/>
    <w:rsid w:val="00A15FBB"/>
    <w:rsid w:val="00A17001"/>
    <w:rsid w:val="00A20837"/>
    <w:rsid w:val="00A21E78"/>
    <w:rsid w:val="00A2295C"/>
    <w:rsid w:val="00A24427"/>
    <w:rsid w:val="00A24BCD"/>
    <w:rsid w:val="00A250C8"/>
    <w:rsid w:val="00A25AAB"/>
    <w:rsid w:val="00A271AF"/>
    <w:rsid w:val="00A31069"/>
    <w:rsid w:val="00A314D4"/>
    <w:rsid w:val="00A31F29"/>
    <w:rsid w:val="00A32E1B"/>
    <w:rsid w:val="00A33ACA"/>
    <w:rsid w:val="00A33CB9"/>
    <w:rsid w:val="00A3436C"/>
    <w:rsid w:val="00A347AE"/>
    <w:rsid w:val="00A351A5"/>
    <w:rsid w:val="00A35F25"/>
    <w:rsid w:val="00A362A7"/>
    <w:rsid w:val="00A36687"/>
    <w:rsid w:val="00A36A78"/>
    <w:rsid w:val="00A37694"/>
    <w:rsid w:val="00A40A1A"/>
    <w:rsid w:val="00A41940"/>
    <w:rsid w:val="00A41A68"/>
    <w:rsid w:val="00A421DF"/>
    <w:rsid w:val="00A42E98"/>
    <w:rsid w:val="00A43026"/>
    <w:rsid w:val="00A43653"/>
    <w:rsid w:val="00A439CB"/>
    <w:rsid w:val="00A445BC"/>
    <w:rsid w:val="00A44EAC"/>
    <w:rsid w:val="00A45A93"/>
    <w:rsid w:val="00A45F75"/>
    <w:rsid w:val="00A467C7"/>
    <w:rsid w:val="00A47307"/>
    <w:rsid w:val="00A47F13"/>
    <w:rsid w:val="00A50304"/>
    <w:rsid w:val="00A50606"/>
    <w:rsid w:val="00A50F5B"/>
    <w:rsid w:val="00A51011"/>
    <w:rsid w:val="00A53E0B"/>
    <w:rsid w:val="00A54F16"/>
    <w:rsid w:val="00A55110"/>
    <w:rsid w:val="00A55BC2"/>
    <w:rsid w:val="00A57253"/>
    <w:rsid w:val="00A573FF"/>
    <w:rsid w:val="00A621BC"/>
    <w:rsid w:val="00A62244"/>
    <w:rsid w:val="00A624FA"/>
    <w:rsid w:val="00A63D42"/>
    <w:rsid w:val="00A64874"/>
    <w:rsid w:val="00A65241"/>
    <w:rsid w:val="00A67173"/>
    <w:rsid w:val="00A677B5"/>
    <w:rsid w:val="00A67808"/>
    <w:rsid w:val="00A678A7"/>
    <w:rsid w:val="00A706E4"/>
    <w:rsid w:val="00A70AA6"/>
    <w:rsid w:val="00A7282F"/>
    <w:rsid w:val="00A72BA8"/>
    <w:rsid w:val="00A730C1"/>
    <w:rsid w:val="00A73402"/>
    <w:rsid w:val="00A74015"/>
    <w:rsid w:val="00A763C0"/>
    <w:rsid w:val="00A7717D"/>
    <w:rsid w:val="00A775E5"/>
    <w:rsid w:val="00A80922"/>
    <w:rsid w:val="00A81D42"/>
    <w:rsid w:val="00A81DA4"/>
    <w:rsid w:val="00A82D42"/>
    <w:rsid w:val="00A8309B"/>
    <w:rsid w:val="00A83A28"/>
    <w:rsid w:val="00A840AC"/>
    <w:rsid w:val="00A8465F"/>
    <w:rsid w:val="00A8591A"/>
    <w:rsid w:val="00A85D21"/>
    <w:rsid w:val="00A86155"/>
    <w:rsid w:val="00A86345"/>
    <w:rsid w:val="00A86E73"/>
    <w:rsid w:val="00A90860"/>
    <w:rsid w:val="00A90CB3"/>
    <w:rsid w:val="00A90FFC"/>
    <w:rsid w:val="00A917E7"/>
    <w:rsid w:val="00A919BA"/>
    <w:rsid w:val="00A91B58"/>
    <w:rsid w:val="00A92060"/>
    <w:rsid w:val="00A92945"/>
    <w:rsid w:val="00A938B0"/>
    <w:rsid w:val="00A95099"/>
    <w:rsid w:val="00A97C54"/>
    <w:rsid w:val="00AA08E1"/>
    <w:rsid w:val="00AA1F16"/>
    <w:rsid w:val="00AA5B24"/>
    <w:rsid w:val="00AB0B5F"/>
    <w:rsid w:val="00AB173D"/>
    <w:rsid w:val="00AB2617"/>
    <w:rsid w:val="00AB2DDB"/>
    <w:rsid w:val="00AB457B"/>
    <w:rsid w:val="00AB459C"/>
    <w:rsid w:val="00AB47F0"/>
    <w:rsid w:val="00AB5197"/>
    <w:rsid w:val="00AB5CDE"/>
    <w:rsid w:val="00AB65B4"/>
    <w:rsid w:val="00AB6737"/>
    <w:rsid w:val="00AB6E48"/>
    <w:rsid w:val="00AB735A"/>
    <w:rsid w:val="00AB7B5E"/>
    <w:rsid w:val="00AC2047"/>
    <w:rsid w:val="00AC2D4A"/>
    <w:rsid w:val="00AC3374"/>
    <w:rsid w:val="00AC3514"/>
    <w:rsid w:val="00AC3A51"/>
    <w:rsid w:val="00AC5375"/>
    <w:rsid w:val="00AC6821"/>
    <w:rsid w:val="00AC6961"/>
    <w:rsid w:val="00AC6A55"/>
    <w:rsid w:val="00AC762C"/>
    <w:rsid w:val="00AD0A0F"/>
    <w:rsid w:val="00AD2161"/>
    <w:rsid w:val="00AD3269"/>
    <w:rsid w:val="00AD5BE0"/>
    <w:rsid w:val="00AD5C16"/>
    <w:rsid w:val="00AD60BA"/>
    <w:rsid w:val="00AD64BE"/>
    <w:rsid w:val="00AD665D"/>
    <w:rsid w:val="00AE0173"/>
    <w:rsid w:val="00AE0690"/>
    <w:rsid w:val="00AE0E0B"/>
    <w:rsid w:val="00AE14B3"/>
    <w:rsid w:val="00AE16A5"/>
    <w:rsid w:val="00AE276E"/>
    <w:rsid w:val="00AE3605"/>
    <w:rsid w:val="00AE511F"/>
    <w:rsid w:val="00AE622C"/>
    <w:rsid w:val="00AE7AE6"/>
    <w:rsid w:val="00AE7BC1"/>
    <w:rsid w:val="00AE7E26"/>
    <w:rsid w:val="00AE7F5E"/>
    <w:rsid w:val="00AF2EF0"/>
    <w:rsid w:val="00AF5570"/>
    <w:rsid w:val="00AF594B"/>
    <w:rsid w:val="00AF692D"/>
    <w:rsid w:val="00AF6DFC"/>
    <w:rsid w:val="00AF773B"/>
    <w:rsid w:val="00AF77E2"/>
    <w:rsid w:val="00AF7976"/>
    <w:rsid w:val="00AF799D"/>
    <w:rsid w:val="00AF7D26"/>
    <w:rsid w:val="00AF7E8F"/>
    <w:rsid w:val="00B00D24"/>
    <w:rsid w:val="00B0307F"/>
    <w:rsid w:val="00B05005"/>
    <w:rsid w:val="00B0514F"/>
    <w:rsid w:val="00B066B2"/>
    <w:rsid w:val="00B071B4"/>
    <w:rsid w:val="00B0739C"/>
    <w:rsid w:val="00B10444"/>
    <w:rsid w:val="00B120C8"/>
    <w:rsid w:val="00B12B58"/>
    <w:rsid w:val="00B14779"/>
    <w:rsid w:val="00B156D8"/>
    <w:rsid w:val="00B16F2A"/>
    <w:rsid w:val="00B171F3"/>
    <w:rsid w:val="00B1741B"/>
    <w:rsid w:val="00B2000D"/>
    <w:rsid w:val="00B2144F"/>
    <w:rsid w:val="00B228DB"/>
    <w:rsid w:val="00B22D5C"/>
    <w:rsid w:val="00B23270"/>
    <w:rsid w:val="00B252DD"/>
    <w:rsid w:val="00B26C60"/>
    <w:rsid w:val="00B278A1"/>
    <w:rsid w:val="00B27C5D"/>
    <w:rsid w:val="00B30115"/>
    <w:rsid w:val="00B32595"/>
    <w:rsid w:val="00B35CC6"/>
    <w:rsid w:val="00B3633B"/>
    <w:rsid w:val="00B370E5"/>
    <w:rsid w:val="00B405E0"/>
    <w:rsid w:val="00B41B07"/>
    <w:rsid w:val="00B423D7"/>
    <w:rsid w:val="00B42C66"/>
    <w:rsid w:val="00B438D8"/>
    <w:rsid w:val="00B43EF4"/>
    <w:rsid w:val="00B4564A"/>
    <w:rsid w:val="00B457D4"/>
    <w:rsid w:val="00B46C1A"/>
    <w:rsid w:val="00B5130D"/>
    <w:rsid w:val="00B529FB"/>
    <w:rsid w:val="00B531BD"/>
    <w:rsid w:val="00B536F5"/>
    <w:rsid w:val="00B53BED"/>
    <w:rsid w:val="00B55B39"/>
    <w:rsid w:val="00B55C6D"/>
    <w:rsid w:val="00B56216"/>
    <w:rsid w:val="00B567A3"/>
    <w:rsid w:val="00B56C3C"/>
    <w:rsid w:val="00B56FC1"/>
    <w:rsid w:val="00B601C9"/>
    <w:rsid w:val="00B6091A"/>
    <w:rsid w:val="00B609ED"/>
    <w:rsid w:val="00B6119B"/>
    <w:rsid w:val="00B61AA2"/>
    <w:rsid w:val="00B623EE"/>
    <w:rsid w:val="00B640E6"/>
    <w:rsid w:val="00B7158E"/>
    <w:rsid w:val="00B737E2"/>
    <w:rsid w:val="00B73A89"/>
    <w:rsid w:val="00B7426E"/>
    <w:rsid w:val="00B7632D"/>
    <w:rsid w:val="00B77329"/>
    <w:rsid w:val="00B77D2B"/>
    <w:rsid w:val="00B802E0"/>
    <w:rsid w:val="00B80683"/>
    <w:rsid w:val="00B80C06"/>
    <w:rsid w:val="00B80D57"/>
    <w:rsid w:val="00B812E0"/>
    <w:rsid w:val="00B821D8"/>
    <w:rsid w:val="00B83A88"/>
    <w:rsid w:val="00B85CCD"/>
    <w:rsid w:val="00B85E56"/>
    <w:rsid w:val="00B86714"/>
    <w:rsid w:val="00B900C5"/>
    <w:rsid w:val="00B93657"/>
    <w:rsid w:val="00B941B1"/>
    <w:rsid w:val="00B943A0"/>
    <w:rsid w:val="00BA1B23"/>
    <w:rsid w:val="00BA1E89"/>
    <w:rsid w:val="00BA2758"/>
    <w:rsid w:val="00BA5F40"/>
    <w:rsid w:val="00BA6767"/>
    <w:rsid w:val="00BA70A1"/>
    <w:rsid w:val="00BA74EF"/>
    <w:rsid w:val="00BA7F59"/>
    <w:rsid w:val="00BB10BE"/>
    <w:rsid w:val="00BB1491"/>
    <w:rsid w:val="00BB2053"/>
    <w:rsid w:val="00BB2219"/>
    <w:rsid w:val="00BB2FA5"/>
    <w:rsid w:val="00BB39D3"/>
    <w:rsid w:val="00BB3AED"/>
    <w:rsid w:val="00BB4310"/>
    <w:rsid w:val="00BB4E4E"/>
    <w:rsid w:val="00BB4F59"/>
    <w:rsid w:val="00BB5A24"/>
    <w:rsid w:val="00BB5D49"/>
    <w:rsid w:val="00BB787E"/>
    <w:rsid w:val="00BC1B84"/>
    <w:rsid w:val="00BC1CAB"/>
    <w:rsid w:val="00BC2661"/>
    <w:rsid w:val="00BC3779"/>
    <w:rsid w:val="00BC3D83"/>
    <w:rsid w:val="00BC439F"/>
    <w:rsid w:val="00BC4B09"/>
    <w:rsid w:val="00BC7028"/>
    <w:rsid w:val="00BC7D1A"/>
    <w:rsid w:val="00BD0750"/>
    <w:rsid w:val="00BD0B80"/>
    <w:rsid w:val="00BD1131"/>
    <w:rsid w:val="00BD1152"/>
    <w:rsid w:val="00BD1E8C"/>
    <w:rsid w:val="00BD2B62"/>
    <w:rsid w:val="00BD33B8"/>
    <w:rsid w:val="00BD37BC"/>
    <w:rsid w:val="00BD5000"/>
    <w:rsid w:val="00BD54CB"/>
    <w:rsid w:val="00BD7887"/>
    <w:rsid w:val="00BE000B"/>
    <w:rsid w:val="00BE2808"/>
    <w:rsid w:val="00BE4E0E"/>
    <w:rsid w:val="00BE5A18"/>
    <w:rsid w:val="00BE601D"/>
    <w:rsid w:val="00BF00D0"/>
    <w:rsid w:val="00BF0BD3"/>
    <w:rsid w:val="00BF13AC"/>
    <w:rsid w:val="00BF205E"/>
    <w:rsid w:val="00BF4C04"/>
    <w:rsid w:val="00BF5855"/>
    <w:rsid w:val="00BF5E16"/>
    <w:rsid w:val="00BF68A8"/>
    <w:rsid w:val="00BF6CCB"/>
    <w:rsid w:val="00BF7188"/>
    <w:rsid w:val="00BF7214"/>
    <w:rsid w:val="00BF775A"/>
    <w:rsid w:val="00BF7CC6"/>
    <w:rsid w:val="00C007BC"/>
    <w:rsid w:val="00C017B4"/>
    <w:rsid w:val="00C01F53"/>
    <w:rsid w:val="00C02527"/>
    <w:rsid w:val="00C02738"/>
    <w:rsid w:val="00C04188"/>
    <w:rsid w:val="00C04AE9"/>
    <w:rsid w:val="00C04EB1"/>
    <w:rsid w:val="00C063D7"/>
    <w:rsid w:val="00C0654E"/>
    <w:rsid w:val="00C06AFC"/>
    <w:rsid w:val="00C06B4E"/>
    <w:rsid w:val="00C11D6B"/>
    <w:rsid w:val="00C13665"/>
    <w:rsid w:val="00C1517A"/>
    <w:rsid w:val="00C153F2"/>
    <w:rsid w:val="00C159FC"/>
    <w:rsid w:val="00C15B46"/>
    <w:rsid w:val="00C17C10"/>
    <w:rsid w:val="00C21931"/>
    <w:rsid w:val="00C21EE5"/>
    <w:rsid w:val="00C22FAF"/>
    <w:rsid w:val="00C2497A"/>
    <w:rsid w:val="00C26425"/>
    <w:rsid w:val="00C27034"/>
    <w:rsid w:val="00C27059"/>
    <w:rsid w:val="00C31BED"/>
    <w:rsid w:val="00C32140"/>
    <w:rsid w:val="00C32F73"/>
    <w:rsid w:val="00C330AA"/>
    <w:rsid w:val="00C3582D"/>
    <w:rsid w:val="00C36064"/>
    <w:rsid w:val="00C36ECA"/>
    <w:rsid w:val="00C37947"/>
    <w:rsid w:val="00C43874"/>
    <w:rsid w:val="00C43FE0"/>
    <w:rsid w:val="00C442F5"/>
    <w:rsid w:val="00C44322"/>
    <w:rsid w:val="00C44ACE"/>
    <w:rsid w:val="00C44CA6"/>
    <w:rsid w:val="00C450B2"/>
    <w:rsid w:val="00C45C0B"/>
    <w:rsid w:val="00C460A2"/>
    <w:rsid w:val="00C46E62"/>
    <w:rsid w:val="00C47170"/>
    <w:rsid w:val="00C51B61"/>
    <w:rsid w:val="00C5367A"/>
    <w:rsid w:val="00C537B5"/>
    <w:rsid w:val="00C550A6"/>
    <w:rsid w:val="00C56514"/>
    <w:rsid w:val="00C56AFD"/>
    <w:rsid w:val="00C57535"/>
    <w:rsid w:val="00C607DA"/>
    <w:rsid w:val="00C60AF8"/>
    <w:rsid w:val="00C61DEE"/>
    <w:rsid w:val="00C61E95"/>
    <w:rsid w:val="00C62D4D"/>
    <w:rsid w:val="00C645C5"/>
    <w:rsid w:val="00C64628"/>
    <w:rsid w:val="00C648E0"/>
    <w:rsid w:val="00C65019"/>
    <w:rsid w:val="00C653E9"/>
    <w:rsid w:val="00C65C0A"/>
    <w:rsid w:val="00C66912"/>
    <w:rsid w:val="00C67742"/>
    <w:rsid w:val="00C70330"/>
    <w:rsid w:val="00C7121E"/>
    <w:rsid w:val="00C7273D"/>
    <w:rsid w:val="00C729A1"/>
    <w:rsid w:val="00C7313F"/>
    <w:rsid w:val="00C74512"/>
    <w:rsid w:val="00C771B4"/>
    <w:rsid w:val="00C8192E"/>
    <w:rsid w:val="00C837ED"/>
    <w:rsid w:val="00C84037"/>
    <w:rsid w:val="00C8486A"/>
    <w:rsid w:val="00C848EC"/>
    <w:rsid w:val="00C84D34"/>
    <w:rsid w:val="00C851CA"/>
    <w:rsid w:val="00C856AF"/>
    <w:rsid w:val="00C87DDC"/>
    <w:rsid w:val="00C926C6"/>
    <w:rsid w:val="00C9325F"/>
    <w:rsid w:val="00C947C3"/>
    <w:rsid w:val="00C94B27"/>
    <w:rsid w:val="00C95A52"/>
    <w:rsid w:val="00C96324"/>
    <w:rsid w:val="00C963C0"/>
    <w:rsid w:val="00C970B7"/>
    <w:rsid w:val="00C9753A"/>
    <w:rsid w:val="00C97CC5"/>
    <w:rsid w:val="00CA0022"/>
    <w:rsid w:val="00CA031A"/>
    <w:rsid w:val="00CA0CA9"/>
    <w:rsid w:val="00CA1831"/>
    <w:rsid w:val="00CA1BB8"/>
    <w:rsid w:val="00CA22E4"/>
    <w:rsid w:val="00CA2C40"/>
    <w:rsid w:val="00CA3338"/>
    <w:rsid w:val="00CA39A2"/>
    <w:rsid w:val="00CA3BE2"/>
    <w:rsid w:val="00CA47E9"/>
    <w:rsid w:val="00CA509D"/>
    <w:rsid w:val="00CA5139"/>
    <w:rsid w:val="00CA7937"/>
    <w:rsid w:val="00CA7963"/>
    <w:rsid w:val="00CA7C66"/>
    <w:rsid w:val="00CB19B1"/>
    <w:rsid w:val="00CB3116"/>
    <w:rsid w:val="00CB4C9C"/>
    <w:rsid w:val="00CB4F02"/>
    <w:rsid w:val="00CB5299"/>
    <w:rsid w:val="00CB57FD"/>
    <w:rsid w:val="00CC21A4"/>
    <w:rsid w:val="00CC2820"/>
    <w:rsid w:val="00CC2AA1"/>
    <w:rsid w:val="00CC32A0"/>
    <w:rsid w:val="00CC35FF"/>
    <w:rsid w:val="00CC369B"/>
    <w:rsid w:val="00CC3A28"/>
    <w:rsid w:val="00CC4155"/>
    <w:rsid w:val="00CC4937"/>
    <w:rsid w:val="00CC4F3D"/>
    <w:rsid w:val="00CC5F73"/>
    <w:rsid w:val="00CC7016"/>
    <w:rsid w:val="00CC7F57"/>
    <w:rsid w:val="00CD0CA6"/>
    <w:rsid w:val="00CD27FE"/>
    <w:rsid w:val="00CD289C"/>
    <w:rsid w:val="00CD428E"/>
    <w:rsid w:val="00CD5BE8"/>
    <w:rsid w:val="00CE079C"/>
    <w:rsid w:val="00CE0AB7"/>
    <w:rsid w:val="00CE1CEC"/>
    <w:rsid w:val="00CE2684"/>
    <w:rsid w:val="00CE2FE3"/>
    <w:rsid w:val="00CE3224"/>
    <w:rsid w:val="00CE3B6F"/>
    <w:rsid w:val="00CE4ABD"/>
    <w:rsid w:val="00CE50A9"/>
    <w:rsid w:val="00CE64B9"/>
    <w:rsid w:val="00CE7A7C"/>
    <w:rsid w:val="00CF032D"/>
    <w:rsid w:val="00CF05BE"/>
    <w:rsid w:val="00CF0653"/>
    <w:rsid w:val="00CF08E6"/>
    <w:rsid w:val="00CF0C65"/>
    <w:rsid w:val="00CF149B"/>
    <w:rsid w:val="00CF31A7"/>
    <w:rsid w:val="00CF3A0A"/>
    <w:rsid w:val="00CF3F6D"/>
    <w:rsid w:val="00CF4014"/>
    <w:rsid w:val="00CF43DE"/>
    <w:rsid w:val="00CF5083"/>
    <w:rsid w:val="00CF51F0"/>
    <w:rsid w:val="00CF5395"/>
    <w:rsid w:val="00CF5D4A"/>
    <w:rsid w:val="00CF7323"/>
    <w:rsid w:val="00CF759C"/>
    <w:rsid w:val="00CF7CA5"/>
    <w:rsid w:val="00CF7F91"/>
    <w:rsid w:val="00D006DC"/>
    <w:rsid w:val="00D02628"/>
    <w:rsid w:val="00D038B0"/>
    <w:rsid w:val="00D045C3"/>
    <w:rsid w:val="00D04818"/>
    <w:rsid w:val="00D04A74"/>
    <w:rsid w:val="00D057ED"/>
    <w:rsid w:val="00D05F50"/>
    <w:rsid w:val="00D07182"/>
    <w:rsid w:val="00D074A4"/>
    <w:rsid w:val="00D1014B"/>
    <w:rsid w:val="00D1045D"/>
    <w:rsid w:val="00D12A78"/>
    <w:rsid w:val="00D130E9"/>
    <w:rsid w:val="00D14BC7"/>
    <w:rsid w:val="00D157A7"/>
    <w:rsid w:val="00D15D51"/>
    <w:rsid w:val="00D16B3F"/>
    <w:rsid w:val="00D17411"/>
    <w:rsid w:val="00D21679"/>
    <w:rsid w:val="00D21C98"/>
    <w:rsid w:val="00D2316C"/>
    <w:rsid w:val="00D23DF3"/>
    <w:rsid w:val="00D24576"/>
    <w:rsid w:val="00D24BCD"/>
    <w:rsid w:val="00D261FA"/>
    <w:rsid w:val="00D26A3C"/>
    <w:rsid w:val="00D26E28"/>
    <w:rsid w:val="00D30403"/>
    <w:rsid w:val="00D34A40"/>
    <w:rsid w:val="00D37481"/>
    <w:rsid w:val="00D37F54"/>
    <w:rsid w:val="00D40466"/>
    <w:rsid w:val="00D40D04"/>
    <w:rsid w:val="00D410B9"/>
    <w:rsid w:val="00D45039"/>
    <w:rsid w:val="00D460BB"/>
    <w:rsid w:val="00D479E0"/>
    <w:rsid w:val="00D5175C"/>
    <w:rsid w:val="00D51BE4"/>
    <w:rsid w:val="00D5598D"/>
    <w:rsid w:val="00D56D4F"/>
    <w:rsid w:val="00D57642"/>
    <w:rsid w:val="00D57699"/>
    <w:rsid w:val="00D57B9C"/>
    <w:rsid w:val="00D60609"/>
    <w:rsid w:val="00D629BA"/>
    <w:rsid w:val="00D63524"/>
    <w:rsid w:val="00D64ABF"/>
    <w:rsid w:val="00D64B2D"/>
    <w:rsid w:val="00D64C16"/>
    <w:rsid w:val="00D64E7F"/>
    <w:rsid w:val="00D65655"/>
    <w:rsid w:val="00D65C37"/>
    <w:rsid w:val="00D66091"/>
    <w:rsid w:val="00D708C0"/>
    <w:rsid w:val="00D70E84"/>
    <w:rsid w:val="00D70EA8"/>
    <w:rsid w:val="00D72F48"/>
    <w:rsid w:val="00D732BC"/>
    <w:rsid w:val="00D73A18"/>
    <w:rsid w:val="00D73D80"/>
    <w:rsid w:val="00D74922"/>
    <w:rsid w:val="00D74FEE"/>
    <w:rsid w:val="00D776CB"/>
    <w:rsid w:val="00D8040B"/>
    <w:rsid w:val="00D8151A"/>
    <w:rsid w:val="00D8387C"/>
    <w:rsid w:val="00D83903"/>
    <w:rsid w:val="00D87CFF"/>
    <w:rsid w:val="00D90D5E"/>
    <w:rsid w:val="00D91DE8"/>
    <w:rsid w:val="00D91F12"/>
    <w:rsid w:val="00D91F62"/>
    <w:rsid w:val="00D92632"/>
    <w:rsid w:val="00D92655"/>
    <w:rsid w:val="00D9294D"/>
    <w:rsid w:val="00D93C23"/>
    <w:rsid w:val="00D94056"/>
    <w:rsid w:val="00D9485A"/>
    <w:rsid w:val="00D949E6"/>
    <w:rsid w:val="00D95C62"/>
    <w:rsid w:val="00D967B2"/>
    <w:rsid w:val="00D96EFD"/>
    <w:rsid w:val="00D97060"/>
    <w:rsid w:val="00D97B22"/>
    <w:rsid w:val="00DA0B1B"/>
    <w:rsid w:val="00DA283E"/>
    <w:rsid w:val="00DA3EC9"/>
    <w:rsid w:val="00DA4BB8"/>
    <w:rsid w:val="00DA5AC0"/>
    <w:rsid w:val="00DA625B"/>
    <w:rsid w:val="00DA6433"/>
    <w:rsid w:val="00DA7189"/>
    <w:rsid w:val="00DA7DC8"/>
    <w:rsid w:val="00DB23B7"/>
    <w:rsid w:val="00DB2F7F"/>
    <w:rsid w:val="00DB406B"/>
    <w:rsid w:val="00DB7DAB"/>
    <w:rsid w:val="00DC03EE"/>
    <w:rsid w:val="00DC0DF8"/>
    <w:rsid w:val="00DC2415"/>
    <w:rsid w:val="00DC2685"/>
    <w:rsid w:val="00DC2A30"/>
    <w:rsid w:val="00DC624D"/>
    <w:rsid w:val="00DC6CB1"/>
    <w:rsid w:val="00DD18BC"/>
    <w:rsid w:val="00DD1BC2"/>
    <w:rsid w:val="00DD3312"/>
    <w:rsid w:val="00DD3A4B"/>
    <w:rsid w:val="00DD3D35"/>
    <w:rsid w:val="00DD42CD"/>
    <w:rsid w:val="00DD55AC"/>
    <w:rsid w:val="00DD582E"/>
    <w:rsid w:val="00DD7291"/>
    <w:rsid w:val="00DD7D3D"/>
    <w:rsid w:val="00DE08C3"/>
    <w:rsid w:val="00DE0C79"/>
    <w:rsid w:val="00DE2554"/>
    <w:rsid w:val="00DE2C92"/>
    <w:rsid w:val="00DE432B"/>
    <w:rsid w:val="00DE573A"/>
    <w:rsid w:val="00DE6636"/>
    <w:rsid w:val="00DE7584"/>
    <w:rsid w:val="00DF1520"/>
    <w:rsid w:val="00DF1B27"/>
    <w:rsid w:val="00DF43A3"/>
    <w:rsid w:val="00DF4652"/>
    <w:rsid w:val="00DF5767"/>
    <w:rsid w:val="00DF77E5"/>
    <w:rsid w:val="00DF7BB0"/>
    <w:rsid w:val="00E01523"/>
    <w:rsid w:val="00E02C19"/>
    <w:rsid w:val="00E038A4"/>
    <w:rsid w:val="00E03BEF"/>
    <w:rsid w:val="00E03E48"/>
    <w:rsid w:val="00E040A3"/>
    <w:rsid w:val="00E0429E"/>
    <w:rsid w:val="00E044CB"/>
    <w:rsid w:val="00E04676"/>
    <w:rsid w:val="00E04AFF"/>
    <w:rsid w:val="00E04B27"/>
    <w:rsid w:val="00E051A8"/>
    <w:rsid w:val="00E07BE1"/>
    <w:rsid w:val="00E10DDF"/>
    <w:rsid w:val="00E123D5"/>
    <w:rsid w:val="00E12B7B"/>
    <w:rsid w:val="00E12CB2"/>
    <w:rsid w:val="00E12EAF"/>
    <w:rsid w:val="00E130FF"/>
    <w:rsid w:val="00E1374C"/>
    <w:rsid w:val="00E1394C"/>
    <w:rsid w:val="00E13CAF"/>
    <w:rsid w:val="00E14195"/>
    <w:rsid w:val="00E15551"/>
    <w:rsid w:val="00E159AA"/>
    <w:rsid w:val="00E15C94"/>
    <w:rsid w:val="00E214E1"/>
    <w:rsid w:val="00E216AF"/>
    <w:rsid w:val="00E2191C"/>
    <w:rsid w:val="00E21EAF"/>
    <w:rsid w:val="00E222BD"/>
    <w:rsid w:val="00E239E0"/>
    <w:rsid w:val="00E23C07"/>
    <w:rsid w:val="00E23CCC"/>
    <w:rsid w:val="00E24277"/>
    <w:rsid w:val="00E25721"/>
    <w:rsid w:val="00E25D04"/>
    <w:rsid w:val="00E275DF"/>
    <w:rsid w:val="00E27C4C"/>
    <w:rsid w:val="00E31312"/>
    <w:rsid w:val="00E32A6E"/>
    <w:rsid w:val="00E32AA9"/>
    <w:rsid w:val="00E335C0"/>
    <w:rsid w:val="00E33BA2"/>
    <w:rsid w:val="00E34D2E"/>
    <w:rsid w:val="00E3597B"/>
    <w:rsid w:val="00E369DA"/>
    <w:rsid w:val="00E403DD"/>
    <w:rsid w:val="00E40F01"/>
    <w:rsid w:val="00E42337"/>
    <w:rsid w:val="00E42D96"/>
    <w:rsid w:val="00E43E92"/>
    <w:rsid w:val="00E50AD5"/>
    <w:rsid w:val="00E50B2C"/>
    <w:rsid w:val="00E512A2"/>
    <w:rsid w:val="00E51411"/>
    <w:rsid w:val="00E54319"/>
    <w:rsid w:val="00E543F4"/>
    <w:rsid w:val="00E57613"/>
    <w:rsid w:val="00E601D1"/>
    <w:rsid w:val="00E61C93"/>
    <w:rsid w:val="00E61E49"/>
    <w:rsid w:val="00E64EEC"/>
    <w:rsid w:val="00E64FC5"/>
    <w:rsid w:val="00E662C7"/>
    <w:rsid w:val="00E67B4D"/>
    <w:rsid w:val="00E67EB5"/>
    <w:rsid w:val="00E70407"/>
    <w:rsid w:val="00E70838"/>
    <w:rsid w:val="00E70FC3"/>
    <w:rsid w:val="00E71887"/>
    <w:rsid w:val="00E72474"/>
    <w:rsid w:val="00E72BDA"/>
    <w:rsid w:val="00E73BC3"/>
    <w:rsid w:val="00E7450D"/>
    <w:rsid w:val="00E75765"/>
    <w:rsid w:val="00E77531"/>
    <w:rsid w:val="00E77FB6"/>
    <w:rsid w:val="00E80713"/>
    <w:rsid w:val="00E826F6"/>
    <w:rsid w:val="00E828F1"/>
    <w:rsid w:val="00E82DD1"/>
    <w:rsid w:val="00E82ED0"/>
    <w:rsid w:val="00E83BC7"/>
    <w:rsid w:val="00E85312"/>
    <w:rsid w:val="00E861F7"/>
    <w:rsid w:val="00E867AE"/>
    <w:rsid w:val="00E869C6"/>
    <w:rsid w:val="00E91158"/>
    <w:rsid w:val="00E9133F"/>
    <w:rsid w:val="00E91419"/>
    <w:rsid w:val="00E91747"/>
    <w:rsid w:val="00E91BE0"/>
    <w:rsid w:val="00E937FF"/>
    <w:rsid w:val="00E93B2A"/>
    <w:rsid w:val="00E94A9A"/>
    <w:rsid w:val="00E94F21"/>
    <w:rsid w:val="00E9558A"/>
    <w:rsid w:val="00E9605C"/>
    <w:rsid w:val="00E96483"/>
    <w:rsid w:val="00E96800"/>
    <w:rsid w:val="00E97992"/>
    <w:rsid w:val="00EA170D"/>
    <w:rsid w:val="00EA2847"/>
    <w:rsid w:val="00EA371F"/>
    <w:rsid w:val="00EA3E19"/>
    <w:rsid w:val="00EA4245"/>
    <w:rsid w:val="00EA4386"/>
    <w:rsid w:val="00EA6726"/>
    <w:rsid w:val="00EA6AF8"/>
    <w:rsid w:val="00EA76A7"/>
    <w:rsid w:val="00EB0193"/>
    <w:rsid w:val="00EB03E6"/>
    <w:rsid w:val="00EB0A8F"/>
    <w:rsid w:val="00EB19BD"/>
    <w:rsid w:val="00EB25F1"/>
    <w:rsid w:val="00EB359F"/>
    <w:rsid w:val="00EB40F1"/>
    <w:rsid w:val="00EB42A9"/>
    <w:rsid w:val="00EB4E8B"/>
    <w:rsid w:val="00EB667B"/>
    <w:rsid w:val="00EB6688"/>
    <w:rsid w:val="00EB7324"/>
    <w:rsid w:val="00EB7479"/>
    <w:rsid w:val="00EC001C"/>
    <w:rsid w:val="00EC1D63"/>
    <w:rsid w:val="00EC2E81"/>
    <w:rsid w:val="00EC4143"/>
    <w:rsid w:val="00EC42A0"/>
    <w:rsid w:val="00EC4976"/>
    <w:rsid w:val="00EC4C6F"/>
    <w:rsid w:val="00EC52C0"/>
    <w:rsid w:val="00EC59CC"/>
    <w:rsid w:val="00EC5EC8"/>
    <w:rsid w:val="00EC7AFB"/>
    <w:rsid w:val="00EC7B43"/>
    <w:rsid w:val="00ED0BB8"/>
    <w:rsid w:val="00ED0D70"/>
    <w:rsid w:val="00ED10C6"/>
    <w:rsid w:val="00ED1E57"/>
    <w:rsid w:val="00ED2D7D"/>
    <w:rsid w:val="00ED311B"/>
    <w:rsid w:val="00ED3EFE"/>
    <w:rsid w:val="00ED522C"/>
    <w:rsid w:val="00ED574B"/>
    <w:rsid w:val="00EE1EC7"/>
    <w:rsid w:val="00EE2AA6"/>
    <w:rsid w:val="00EE3DFC"/>
    <w:rsid w:val="00EE4765"/>
    <w:rsid w:val="00EE47B2"/>
    <w:rsid w:val="00EF0349"/>
    <w:rsid w:val="00EF17EE"/>
    <w:rsid w:val="00EF29CD"/>
    <w:rsid w:val="00EF3B1F"/>
    <w:rsid w:val="00EF49DF"/>
    <w:rsid w:val="00EF5EA3"/>
    <w:rsid w:val="00F0203D"/>
    <w:rsid w:val="00F03916"/>
    <w:rsid w:val="00F0426D"/>
    <w:rsid w:val="00F0515D"/>
    <w:rsid w:val="00F070D0"/>
    <w:rsid w:val="00F07322"/>
    <w:rsid w:val="00F07C65"/>
    <w:rsid w:val="00F103F8"/>
    <w:rsid w:val="00F10490"/>
    <w:rsid w:val="00F1233A"/>
    <w:rsid w:val="00F128C0"/>
    <w:rsid w:val="00F1292F"/>
    <w:rsid w:val="00F13170"/>
    <w:rsid w:val="00F13B4C"/>
    <w:rsid w:val="00F1520A"/>
    <w:rsid w:val="00F205B5"/>
    <w:rsid w:val="00F218A7"/>
    <w:rsid w:val="00F222D5"/>
    <w:rsid w:val="00F22926"/>
    <w:rsid w:val="00F2292F"/>
    <w:rsid w:val="00F22B37"/>
    <w:rsid w:val="00F23FB1"/>
    <w:rsid w:val="00F243E6"/>
    <w:rsid w:val="00F24965"/>
    <w:rsid w:val="00F24B4D"/>
    <w:rsid w:val="00F24E48"/>
    <w:rsid w:val="00F25B5B"/>
    <w:rsid w:val="00F25B89"/>
    <w:rsid w:val="00F26042"/>
    <w:rsid w:val="00F26758"/>
    <w:rsid w:val="00F27E28"/>
    <w:rsid w:val="00F27F71"/>
    <w:rsid w:val="00F306CC"/>
    <w:rsid w:val="00F30E41"/>
    <w:rsid w:val="00F31D89"/>
    <w:rsid w:val="00F32803"/>
    <w:rsid w:val="00F336AB"/>
    <w:rsid w:val="00F36FF0"/>
    <w:rsid w:val="00F37FAA"/>
    <w:rsid w:val="00F40055"/>
    <w:rsid w:val="00F408E8"/>
    <w:rsid w:val="00F40DC3"/>
    <w:rsid w:val="00F41767"/>
    <w:rsid w:val="00F42A09"/>
    <w:rsid w:val="00F42CA8"/>
    <w:rsid w:val="00F44A79"/>
    <w:rsid w:val="00F44AA1"/>
    <w:rsid w:val="00F44D17"/>
    <w:rsid w:val="00F4733A"/>
    <w:rsid w:val="00F51281"/>
    <w:rsid w:val="00F570A3"/>
    <w:rsid w:val="00F5771E"/>
    <w:rsid w:val="00F57AA8"/>
    <w:rsid w:val="00F57DDE"/>
    <w:rsid w:val="00F6249A"/>
    <w:rsid w:val="00F624CC"/>
    <w:rsid w:val="00F62719"/>
    <w:rsid w:val="00F62808"/>
    <w:rsid w:val="00F637A7"/>
    <w:rsid w:val="00F66A8B"/>
    <w:rsid w:val="00F71682"/>
    <w:rsid w:val="00F7325C"/>
    <w:rsid w:val="00F73CDF"/>
    <w:rsid w:val="00F756B6"/>
    <w:rsid w:val="00F75DDA"/>
    <w:rsid w:val="00F7673B"/>
    <w:rsid w:val="00F76B60"/>
    <w:rsid w:val="00F80744"/>
    <w:rsid w:val="00F80F5D"/>
    <w:rsid w:val="00F81CE2"/>
    <w:rsid w:val="00F824C3"/>
    <w:rsid w:val="00F8254E"/>
    <w:rsid w:val="00F827CB"/>
    <w:rsid w:val="00F8487D"/>
    <w:rsid w:val="00F85E61"/>
    <w:rsid w:val="00F85E83"/>
    <w:rsid w:val="00F85F0A"/>
    <w:rsid w:val="00F86C24"/>
    <w:rsid w:val="00F9044E"/>
    <w:rsid w:val="00F90ABB"/>
    <w:rsid w:val="00F914B3"/>
    <w:rsid w:val="00F92AF4"/>
    <w:rsid w:val="00F95CB8"/>
    <w:rsid w:val="00F95E78"/>
    <w:rsid w:val="00F96EFD"/>
    <w:rsid w:val="00F97435"/>
    <w:rsid w:val="00FA10E9"/>
    <w:rsid w:val="00FA1347"/>
    <w:rsid w:val="00FA2196"/>
    <w:rsid w:val="00FA2810"/>
    <w:rsid w:val="00FA2ADB"/>
    <w:rsid w:val="00FA380D"/>
    <w:rsid w:val="00FA4698"/>
    <w:rsid w:val="00FA55E5"/>
    <w:rsid w:val="00FA5CA6"/>
    <w:rsid w:val="00FA62A1"/>
    <w:rsid w:val="00FB118D"/>
    <w:rsid w:val="00FB2474"/>
    <w:rsid w:val="00FB24CD"/>
    <w:rsid w:val="00FB2DC9"/>
    <w:rsid w:val="00FB45A7"/>
    <w:rsid w:val="00FB68D2"/>
    <w:rsid w:val="00FB73DC"/>
    <w:rsid w:val="00FC08D3"/>
    <w:rsid w:val="00FC1212"/>
    <w:rsid w:val="00FC207B"/>
    <w:rsid w:val="00FC30F8"/>
    <w:rsid w:val="00FC333C"/>
    <w:rsid w:val="00FC38D6"/>
    <w:rsid w:val="00FC5C81"/>
    <w:rsid w:val="00FC62BB"/>
    <w:rsid w:val="00FD07D3"/>
    <w:rsid w:val="00FD0E1A"/>
    <w:rsid w:val="00FD11AE"/>
    <w:rsid w:val="00FD27CA"/>
    <w:rsid w:val="00FD28F0"/>
    <w:rsid w:val="00FD2EF3"/>
    <w:rsid w:val="00FD424B"/>
    <w:rsid w:val="00FD4E37"/>
    <w:rsid w:val="00FD7CA3"/>
    <w:rsid w:val="00FE08A1"/>
    <w:rsid w:val="00FE0BA4"/>
    <w:rsid w:val="00FE1FF5"/>
    <w:rsid w:val="00FE2A5F"/>
    <w:rsid w:val="00FE4340"/>
    <w:rsid w:val="00FE6071"/>
    <w:rsid w:val="00FE626A"/>
    <w:rsid w:val="00FF0AD5"/>
    <w:rsid w:val="00FF1431"/>
    <w:rsid w:val="00FF15C9"/>
    <w:rsid w:val="00FF1B89"/>
    <w:rsid w:val="00FF1D8F"/>
    <w:rsid w:val="00FF3758"/>
    <w:rsid w:val="00FF3861"/>
    <w:rsid w:val="00FF4104"/>
    <w:rsid w:val="00FF44D4"/>
    <w:rsid w:val="00FF47DB"/>
    <w:rsid w:val="00FF4C33"/>
    <w:rsid w:val="00FF5A78"/>
    <w:rsid w:val="00FF6AD0"/>
    <w:rsid w:val="00FF71CB"/>
    <w:rsid w:val="02032C25"/>
    <w:rsid w:val="0317584D"/>
    <w:rsid w:val="04BA0869"/>
    <w:rsid w:val="06A16B25"/>
    <w:rsid w:val="081D240B"/>
    <w:rsid w:val="0A110C43"/>
    <w:rsid w:val="0CD5140B"/>
    <w:rsid w:val="0D252BFC"/>
    <w:rsid w:val="0E360F2F"/>
    <w:rsid w:val="0E740F24"/>
    <w:rsid w:val="0F562FC3"/>
    <w:rsid w:val="1266597E"/>
    <w:rsid w:val="136E0CCC"/>
    <w:rsid w:val="145957B0"/>
    <w:rsid w:val="153C349F"/>
    <w:rsid w:val="15972A86"/>
    <w:rsid w:val="15CC655F"/>
    <w:rsid w:val="1694228D"/>
    <w:rsid w:val="16C06AFF"/>
    <w:rsid w:val="17D8304A"/>
    <w:rsid w:val="18CA26C3"/>
    <w:rsid w:val="1BFB22DC"/>
    <w:rsid w:val="1C407F56"/>
    <w:rsid w:val="1F8B5855"/>
    <w:rsid w:val="1FDA4319"/>
    <w:rsid w:val="201E19ED"/>
    <w:rsid w:val="20495537"/>
    <w:rsid w:val="20966A4E"/>
    <w:rsid w:val="224A440B"/>
    <w:rsid w:val="253C19CF"/>
    <w:rsid w:val="27654857"/>
    <w:rsid w:val="27EF0FDF"/>
    <w:rsid w:val="28670340"/>
    <w:rsid w:val="290F094A"/>
    <w:rsid w:val="29832E14"/>
    <w:rsid w:val="2A7E4D4A"/>
    <w:rsid w:val="2E1B4E91"/>
    <w:rsid w:val="2F6A195A"/>
    <w:rsid w:val="32801B60"/>
    <w:rsid w:val="35C10F40"/>
    <w:rsid w:val="36265AF8"/>
    <w:rsid w:val="377577D8"/>
    <w:rsid w:val="38C657DE"/>
    <w:rsid w:val="38E732EF"/>
    <w:rsid w:val="3D56703C"/>
    <w:rsid w:val="400C0D0F"/>
    <w:rsid w:val="409D79D9"/>
    <w:rsid w:val="41407538"/>
    <w:rsid w:val="425F4537"/>
    <w:rsid w:val="453E7DA6"/>
    <w:rsid w:val="455259E9"/>
    <w:rsid w:val="47CE0B0D"/>
    <w:rsid w:val="4D906F34"/>
    <w:rsid w:val="4DA67FBA"/>
    <w:rsid w:val="503B1262"/>
    <w:rsid w:val="51C55897"/>
    <w:rsid w:val="530A2727"/>
    <w:rsid w:val="53466B8A"/>
    <w:rsid w:val="53E520BE"/>
    <w:rsid w:val="57892AB9"/>
    <w:rsid w:val="59492D42"/>
    <w:rsid w:val="59C5040A"/>
    <w:rsid w:val="59F115E0"/>
    <w:rsid w:val="5A337916"/>
    <w:rsid w:val="5A577234"/>
    <w:rsid w:val="5B0E5FCC"/>
    <w:rsid w:val="60D13E9D"/>
    <w:rsid w:val="61C410AD"/>
    <w:rsid w:val="641D0025"/>
    <w:rsid w:val="67273047"/>
    <w:rsid w:val="672D0D21"/>
    <w:rsid w:val="677F05D2"/>
    <w:rsid w:val="6A9E49B0"/>
    <w:rsid w:val="6B504416"/>
    <w:rsid w:val="6C5C7A90"/>
    <w:rsid w:val="6F647DAB"/>
    <w:rsid w:val="706B5CAB"/>
    <w:rsid w:val="73957E19"/>
    <w:rsid w:val="748F39C9"/>
    <w:rsid w:val="74FC7025"/>
    <w:rsid w:val="7621279A"/>
    <w:rsid w:val="76A26C1D"/>
    <w:rsid w:val="76E12FE4"/>
    <w:rsid w:val="771A6A0A"/>
    <w:rsid w:val="77F62440"/>
    <w:rsid w:val="7B2A0D5F"/>
    <w:rsid w:val="7D985A08"/>
    <w:rsid w:val="7F0E361F"/>
    <w:rsid w:val="7F5877B9"/>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600" w:lineRule="exact"/>
      <w:ind w:firstLine="200" w:firstLineChars="200"/>
      <w:jc w:val="both"/>
    </w:pPr>
    <w:rPr>
      <w:rFonts w:ascii="仿宋_GB2312" w:hAnsi="仿宋_GB2312" w:eastAsia="方正仿宋_GBK" w:cs="Times New Roman"/>
      <w:kern w:val="2"/>
      <w:sz w:val="32"/>
      <w:lang w:val="en-US" w:eastAsia="zh-CN" w:bidi="ar-SA"/>
    </w:rPr>
  </w:style>
  <w:style w:type="paragraph" w:styleId="3">
    <w:name w:val="heading 1"/>
    <w:basedOn w:val="1"/>
    <w:next w:val="1"/>
    <w:link w:val="33"/>
    <w:qFormat/>
    <w:uiPriority w:val="9"/>
    <w:pPr>
      <w:keepNext/>
      <w:keepLines/>
      <w:numPr>
        <w:ilvl w:val="0"/>
        <w:numId w:val="1"/>
      </w:numPr>
      <w:spacing w:line="240" w:lineRule="atLeast"/>
      <w:outlineLvl w:val="0"/>
    </w:pPr>
    <w:rPr>
      <w:rFonts w:eastAsia="方正黑体_GBK" w:asciiTheme="minorHAnsi" w:hAnsiTheme="minorHAnsi" w:cstheme="minorBidi"/>
      <w:b/>
      <w:bCs/>
      <w:kern w:val="44"/>
      <w:szCs w:val="44"/>
    </w:rPr>
  </w:style>
  <w:style w:type="paragraph" w:styleId="4">
    <w:name w:val="heading 2"/>
    <w:basedOn w:val="1"/>
    <w:next w:val="1"/>
    <w:link w:val="34"/>
    <w:unhideWhenUsed/>
    <w:qFormat/>
    <w:uiPriority w:val="9"/>
    <w:pPr>
      <w:keepNext/>
      <w:keepLines/>
      <w:numPr>
        <w:ilvl w:val="1"/>
        <w:numId w:val="1"/>
      </w:numPr>
      <w:spacing w:line="240" w:lineRule="atLeast"/>
      <w:outlineLvl w:val="1"/>
    </w:pPr>
    <w:rPr>
      <w:rFonts w:eastAsia="方正楷体_GBK" w:asciiTheme="majorHAnsi" w:hAnsiTheme="majorHAnsi" w:cstheme="majorBidi"/>
      <w:b/>
      <w:bCs/>
      <w:szCs w:val="32"/>
    </w:rPr>
  </w:style>
  <w:style w:type="paragraph" w:styleId="5">
    <w:name w:val="heading 3"/>
    <w:basedOn w:val="1"/>
    <w:next w:val="1"/>
    <w:link w:val="35"/>
    <w:unhideWhenUsed/>
    <w:qFormat/>
    <w:uiPriority w:val="9"/>
    <w:pPr>
      <w:keepNext/>
      <w:keepLines/>
      <w:numPr>
        <w:ilvl w:val="2"/>
        <w:numId w:val="1"/>
      </w:numPr>
      <w:spacing w:line="240" w:lineRule="atLeast"/>
      <w:outlineLvl w:val="2"/>
    </w:pPr>
    <w:rPr>
      <w:rFonts w:asciiTheme="minorHAnsi" w:hAnsiTheme="minorHAnsi" w:cstheme="minorBidi"/>
      <w:b/>
      <w:bCs/>
      <w:szCs w:val="32"/>
    </w:rPr>
  </w:style>
  <w:style w:type="paragraph" w:styleId="6">
    <w:name w:val="heading 4"/>
    <w:basedOn w:val="1"/>
    <w:next w:val="1"/>
    <w:link w:val="4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1"/>
    <w:unhideWhenUsed/>
    <w:qFormat/>
    <w:uiPriority w:val="9"/>
    <w:pPr>
      <w:keepNext/>
      <w:keepLines/>
      <w:numPr>
        <w:ilvl w:val="4"/>
        <w:numId w:val="1"/>
      </w:numPr>
      <w:spacing w:before="280" w:after="290" w:line="376" w:lineRule="auto"/>
      <w:outlineLvl w:val="4"/>
    </w:pPr>
    <w:rPr>
      <w:rFonts w:asciiTheme="minorHAnsi" w:hAnsiTheme="minorHAnsi" w:eastAsiaTheme="minorEastAsia" w:cstheme="minorBidi"/>
      <w:b/>
      <w:bCs/>
      <w:sz w:val="28"/>
      <w:szCs w:val="28"/>
    </w:rPr>
  </w:style>
  <w:style w:type="paragraph" w:styleId="8">
    <w:name w:val="heading 6"/>
    <w:basedOn w:val="1"/>
    <w:next w:val="1"/>
    <w:link w:val="42"/>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3"/>
    <w:unhideWhenUsed/>
    <w:qFormat/>
    <w:uiPriority w:val="9"/>
    <w:pPr>
      <w:keepNext/>
      <w:keepLines/>
      <w:numPr>
        <w:ilvl w:val="6"/>
        <w:numId w:val="1"/>
      </w:numPr>
      <w:spacing w:before="240" w:after="64" w:line="320" w:lineRule="auto"/>
      <w:outlineLvl w:val="6"/>
    </w:pPr>
    <w:rPr>
      <w:rFonts w:asciiTheme="minorHAnsi" w:hAnsiTheme="minorHAnsi" w:eastAsiaTheme="minorEastAsia" w:cstheme="minorBidi"/>
      <w:b/>
      <w:bCs/>
      <w:sz w:val="24"/>
      <w:szCs w:val="24"/>
    </w:rPr>
  </w:style>
  <w:style w:type="paragraph" w:styleId="10">
    <w:name w:val="heading 8"/>
    <w:basedOn w:val="1"/>
    <w:next w:val="1"/>
    <w:link w:val="44"/>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45"/>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6">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customStyle="1" w:styleId="2">
    <w:name w:val="报告正文"/>
    <w:basedOn w:val="1"/>
    <w:qFormat/>
    <w:uiPriority w:val="0"/>
    <w:pPr>
      <w:ind w:firstLine="480"/>
    </w:pPr>
    <w:rPr>
      <w:rFonts w:eastAsia="仿宋_GB2312"/>
    </w:rPr>
  </w:style>
  <w:style w:type="paragraph" w:styleId="12">
    <w:name w:val="annotation subject"/>
    <w:basedOn w:val="13"/>
    <w:next w:val="13"/>
    <w:link w:val="50"/>
    <w:unhideWhenUsed/>
    <w:qFormat/>
    <w:uiPriority w:val="99"/>
    <w:rPr>
      <w:b/>
      <w:bCs/>
    </w:rPr>
  </w:style>
  <w:style w:type="paragraph" w:styleId="13">
    <w:name w:val="annotation text"/>
    <w:basedOn w:val="1"/>
    <w:link w:val="48"/>
    <w:unhideWhenUsed/>
    <w:qFormat/>
    <w:uiPriority w:val="99"/>
    <w:pPr>
      <w:jc w:val="left"/>
    </w:pPr>
  </w:style>
  <w:style w:type="paragraph" w:styleId="14">
    <w:name w:val="Document Map"/>
    <w:basedOn w:val="1"/>
    <w:link w:val="53"/>
    <w:unhideWhenUsed/>
    <w:qFormat/>
    <w:uiPriority w:val="99"/>
    <w:rPr>
      <w:rFonts w:ascii="宋体" w:eastAsia="宋体"/>
      <w:sz w:val="18"/>
      <w:szCs w:val="18"/>
    </w:rPr>
  </w:style>
  <w:style w:type="paragraph" w:styleId="15">
    <w:name w:val="Body Text"/>
    <w:basedOn w:val="1"/>
    <w:link w:val="38"/>
    <w:qFormat/>
    <w:uiPriority w:val="0"/>
    <w:pPr>
      <w:spacing w:after="120"/>
    </w:pPr>
    <w:rPr>
      <w:rFonts w:asciiTheme="minorHAnsi" w:hAnsiTheme="minorHAnsi" w:eastAsiaTheme="minorEastAsia" w:cstheme="minorBidi"/>
      <w:szCs w:val="22"/>
    </w:rPr>
  </w:style>
  <w:style w:type="paragraph" w:styleId="16">
    <w:name w:val="Plain Text"/>
    <w:basedOn w:val="1"/>
    <w:qFormat/>
    <w:uiPriority w:val="0"/>
    <w:rPr>
      <w:rFonts w:hAnsi="Courier New" w:cs="宋体"/>
      <w:szCs w:val="21"/>
    </w:rPr>
  </w:style>
  <w:style w:type="paragraph" w:styleId="17">
    <w:name w:val="Date"/>
    <w:basedOn w:val="1"/>
    <w:next w:val="1"/>
    <w:link w:val="46"/>
    <w:unhideWhenUsed/>
    <w:qFormat/>
    <w:uiPriority w:val="99"/>
    <w:pPr>
      <w:ind w:left="100" w:leftChars="2500"/>
    </w:pPr>
  </w:style>
  <w:style w:type="paragraph" w:styleId="18">
    <w:name w:val="Balloon Text"/>
    <w:basedOn w:val="1"/>
    <w:link w:val="47"/>
    <w:unhideWhenUsed/>
    <w:qFormat/>
    <w:uiPriority w:val="99"/>
    <w:pPr>
      <w:spacing w:line="240" w:lineRule="auto"/>
    </w:pPr>
    <w:rPr>
      <w:sz w:val="18"/>
      <w:szCs w:val="18"/>
    </w:rPr>
  </w:style>
  <w:style w:type="paragraph" w:styleId="19">
    <w:name w:val="footer"/>
    <w:basedOn w:val="1"/>
    <w:link w:val="37"/>
    <w:unhideWhenUsed/>
    <w:qFormat/>
    <w:uiPriority w:val="99"/>
    <w:pPr>
      <w:tabs>
        <w:tab w:val="center" w:pos="4153"/>
        <w:tab w:val="right" w:pos="8306"/>
      </w:tabs>
      <w:snapToGrid w:val="0"/>
      <w:jc w:val="left"/>
    </w:pPr>
    <w:rPr>
      <w:sz w:val="18"/>
      <w:szCs w:val="18"/>
      <w:lang w:val="zh-CN"/>
    </w:rPr>
  </w:style>
  <w:style w:type="paragraph" w:styleId="20">
    <w:name w:val="header"/>
    <w:basedOn w:val="1"/>
    <w:link w:val="36"/>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21">
    <w:name w:val="toc 1"/>
    <w:basedOn w:val="1"/>
    <w:next w:val="1"/>
    <w:unhideWhenUsed/>
    <w:qFormat/>
    <w:uiPriority w:val="39"/>
  </w:style>
  <w:style w:type="paragraph" w:styleId="22">
    <w:name w:val="footnote text"/>
    <w:basedOn w:val="1"/>
    <w:link w:val="49"/>
    <w:unhideWhenUsed/>
    <w:qFormat/>
    <w:uiPriority w:val="99"/>
    <w:pPr>
      <w:snapToGrid w:val="0"/>
      <w:jc w:val="left"/>
    </w:pPr>
    <w:rPr>
      <w:sz w:val="18"/>
      <w:szCs w:val="18"/>
    </w:rPr>
  </w:style>
  <w:style w:type="paragraph" w:styleId="23">
    <w:name w:val="toc 2"/>
    <w:basedOn w:val="1"/>
    <w:next w:val="1"/>
    <w:unhideWhenUsed/>
    <w:qFormat/>
    <w:uiPriority w:val="39"/>
    <w:pPr>
      <w:ind w:left="420" w:leftChars="200"/>
    </w:pPr>
  </w:style>
  <w:style w:type="paragraph" w:styleId="24">
    <w:name w:val="Normal (Web)"/>
    <w:basedOn w:val="1"/>
    <w:unhideWhenUsed/>
    <w:qFormat/>
    <w:uiPriority w:val="99"/>
    <w:pPr>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5">
    <w:name w:val="Title"/>
    <w:basedOn w:val="1"/>
    <w:next w:val="1"/>
    <w:qFormat/>
    <w:uiPriority w:val="0"/>
    <w:pPr>
      <w:spacing w:before="240" w:after="60"/>
      <w:jc w:val="center"/>
    </w:pPr>
    <w:rPr>
      <w:rFonts w:ascii="Cambria" w:hAnsi="Cambria"/>
      <w:b/>
      <w:bCs/>
      <w:sz w:val="44"/>
      <w:szCs w:val="32"/>
    </w:rPr>
  </w:style>
  <w:style w:type="character" w:styleId="27">
    <w:name w:val="Emphasis"/>
    <w:basedOn w:val="26"/>
    <w:qFormat/>
    <w:uiPriority w:val="20"/>
    <w:rPr>
      <w:i/>
      <w:iCs/>
    </w:rPr>
  </w:style>
  <w:style w:type="character" w:styleId="28">
    <w:name w:val="Hyperlink"/>
    <w:basedOn w:val="26"/>
    <w:unhideWhenUsed/>
    <w:qFormat/>
    <w:uiPriority w:val="99"/>
    <w:rPr>
      <w:color w:val="0000FF" w:themeColor="hyperlink"/>
      <w:u w:val="single"/>
    </w:rPr>
  </w:style>
  <w:style w:type="character" w:styleId="29">
    <w:name w:val="annotation reference"/>
    <w:basedOn w:val="26"/>
    <w:unhideWhenUsed/>
    <w:qFormat/>
    <w:uiPriority w:val="99"/>
    <w:rPr>
      <w:sz w:val="21"/>
      <w:szCs w:val="21"/>
    </w:rPr>
  </w:style>
  <w:style w:type="character" w:styleId="30">
    <w:name w:val="footnote reference"/>
    <w:basedOn w:val="26"/>
    <w:unhideWhenUsed/>
    <w:qFormat/>
    <w:uiPriority w:val="99"/>
    <w:rPr>
      <w:vertAlign w:val="superscript"/>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标题 1 字符"/>
    <w:basedOn w:val="26"/>
    <w:link w:val="3"/>
    <w:qFormat/>
    <w:uiPriority w:val="9"/>
    <w:rPr>
      <w:rFonts w:eastAsia="方正黑体_GBK" w:asciiTheme="minorHAnsi" w:hAnsiTheme="minorHAnsi"/>
      <w:b/>
      <w:bCs/>
      <w:kern w:val="44"/>
      <w:sz w:val="32"/>
      <w:szCs w:val="44"/>
    </w:rPr>
  </w:style>
  <w:style w:type="character" w:customStyle="1" w:styleId="34">
    <w:name w:val="标题 2 字符"/>
    <w:basedOn w:val="26"/>
    <w:link w:val="4"/>
    <w:semiHidden/>
    <w:qFormat/>
    <w:uiPriority w:val="9"/>
    <w:rPr>
      <w:rFonts w:eastAsia="方正楷体_GBK" w:asciiTheme="majorHAnsi" w:hAnsiTheme="majorHAnsi" w:cstheme="majorBidi"/>
      <w:b/>
      <w:bCs/>
      <w:sz w:val="32"/>
      <w:szCs w:val="32"/>
    </w:rPr>
  </w:style>
  <w:style w:type="character" w:customStyle="1" w:styleId="35">
    <w:name w:val="标题 3 字符"/>
    <w:basedOn w:val="26"/>
    <w:link w:val="5"/>
    <w:semiHidden/>
    <w:qFormat/>
    <w:uiPriority w:val="9"/>
    <w:rPr>
      <w:rFonts w:eastAsia="方正仿宋_GBK" w:asciiTheme="minorHAnsi" w:hAnsiTheme="minorHAnsi"/>
      <w:b/>
      <w:bCs/>
      <w:sz w:val="32"/>
      <w:szCs w:val="32"/>
    </w:rPr>
  </w:style>
  <w:style w:type="character" w:customStyle="1" w:styleId="36">
    <w:name w:val="页眉 字符"/>
    <w:basedOn w:val="26"/>
    <w:link w:val="20"/>
    <w:qFormat/>
    <w:uiPriority w:val="99"/>
    <w:rPr>
      <w:rFonts w:ascii="仿宋_GB2312" w:hAnsi="Times New Roman" w:eastAsia="仿宋_GB2312" w:cs="Times New Roman"/>
      <w:sz w:val="18"/>
      <w:szCs w:val="18"/>
      <w:lang w:val="zh-CN" w:eastAsia="zh-CN"/>
    </w:rPr>
  </w:style>
  <w:style w:type="character" w:customStyle="1" w:styleId="37">
    <w:name w:val="页脚 字符"/>
    <w:basedOn w:val="26"/>
    <w:link w:val="19"/>
    <w:qFormat/>
    <w:uiPriority w:val="99"/>
    <w:rPr>
      <w:rFonts w:ascii="仿宋_GB2312" w:hAnsi="Times New Roman" w:eastAsia="仿宋_GB2312" w:cs="Times New Roman"/>
      <w:sz w:val="18"/>
      <w:szCs w:val="18"/>
      <w:lang w:val="zh-CN" w:eastAsia="zh-CN"/>
    </w:rPr>
  </w:style>
  <w:style w:type="character" w:customStyle="1" w:styleId="38">
    <w:name w:val="正文文本 字符"/>
    <w:link w:val="15"/>
    <w:qFormat/>
    <w:uiPriority w:val="0"/>
    <w:rPr>
      <w:sz w:val="32"/>
    </w:rPr>
  </w:style>
  <w:style w:type="character" w:customStyle="1" w:styleId="39">
    <w:name w:val="正文文本 Char1"/>
    <w:basedOn w:val="26"/>
    <w:semiHidden/>
    <w:qFormat/>
    <w:uiPriority w:val="99"/>
    <w:rPr>
      <w:rFonts w:ascii="仿宋_GB2312" w:hAnsi="Times New Roman" w:eastAsia="仿宋_GB2312" w:cs="Times New Roman"/>
      <w:sz w:val="32"/>
      <w:szCs w:val="20"/>
    </w:rPr>
  </w:style>
  <w:style w:type="character" w:customStyle="1" w:styleId="40">
    <w:name w:val="标题 4 字符"/>
    <w:basedOn w:val="26"/>
    <w:link w:val="6"/>
    <w:semiHidden/>
    <w:qFormat/>
    <w:uiPriority w:val="9"/>
    <w:rPr>
      <w:rFonts w:asciiTheme="majorHAnsi" w:hAnsiTheme="majorHAnsi" w:eastAsiaTheme="majorEastAsia" w:cstheme="majorBidi"/>
      <w:b/>
      <w:bCs/>
      <w:sz w:val="28"/>
      <w:szCs w:val="28"/>
    </w:rPr>
  </w:style>
  <w:style w:type="character" w:customStyle="1" w:styleId="41">
    <w:name w:val="标题 5 字符"/>
    <w:basedOn w:val="26"/>
    <w:link w:val="7"/>
    <w:semiHidden/>
    <w:qFormat/>
    <w:uiPriority w:val="9"/>
    <w:rPr>
      <w:b/>
      <w:bCs/>
      <w:sz w:val="28"/>
      <w:szCs w:val="28"/>
    </w:rPr>
  </w:style>
  <w:style w:type="character" w:customStyle="1" w:styleId="42">
    <w:name w:val="标题 6 字符"/>
    <w:basedOn w:val="26"/>
    <w:link w:val="8"/>
    <w:semiHidden/>
    <w:qFormat/>
    <w:uiPriority w:val="9"/>
    <w:rPr>
      <w:rFonts w:asciiTheme="majorHAnsi" w:hAnsiTheme="majorHAnsi" w:eastAsiaTheme="majorEastAsia" w:cstheme="majorBidi"/>
      <w:b/>
      <w:bCs/>
      <w:sz w:val="24"/>
      <w:szCs w:val="24"/>
    </w:rPr>
  </w:style>
  <w:style w:type="character" w:customStyle="1" w:styleId="43">
    <w:name w:val="标题 7 字符"/>
    <w:basedOn w:val="26"/>
    <w:link w:val="9"/>
    <w:semiHidden/>
    <w:qFormat/>
    <w:uiPriority w:val="9"/>
    <w:rPr>
      <w:b/>
      <w:bCs/>
      <w:sz w:val="24"/>
      <w:szCs w:val="24"/>
    </w:rPr>
  </w:style>
  <w:style w:type="character" w:customStyle="1" w:styleId="44">
    <w:name w:val="标题 8 字符"/>
    <w:basedOn w:val="26"/>
    <w:link w:val="10"/>
    <w:semiHidden/>
    <w:qFormat/>
    <w:uiPriority w:val="9"/>
    <w:rPr>
      <w:rFonts w:asciiTheme="majorHAnsi" w:hAnsiTheme="majorHAnsi" w:eastAsiaTheme="majorEastAsia" w:cstheme="majorBidi"/>
      <w:sz w:val="24"/>
      <w:szCs w:val="24"/>
    </w:rPr>
  </w:style>
  <w:style w:type="character" w:customStyle="1" w:styleId="45">
    <w:name w:val="标题 9 字符"/>
    <w:basedOn w:val="26"/>
    <w:link w:val="11"/>
    <w:semiHidden/>
    <w:qFormat/>
    <w:uiPriority w:val="9"/>
    <w:rPr>
      <w:rFonts w:asciiTheme="majorHAnsi" w:hAnsiTheme="majorHAnsi" w:eastAsiaTheme="majorEastAsia" w:cstheme="majorBidi"/>
      <w:szCs w:val="21"/>
    </w:rPr>
  </w:style>
  <w:style w:type="character" w:customStyle="1" w:styleId="46">
    <w:name w:val="日期 字符"/>
    <w:basedOn w:val="26"/>
    <w:link w:val="17"/>
    <w:semiHidden/>
    <w:qFormat/>
    <w:uiPriority w:val="99"/>
    <w:rPr>
      <w:rFonts w:ascii="仿宋_GB2312" w:hAnsi="Times New Roman" w:eastAsia="仿宋_GB2312" w:cs="Times New Roman"/>
      <w:sz w:val="32"/>
      <w:szCs w:val="20"/>
    </w:rPr>
  </w:style>
  <w:style w:type="character" w:customStyle="1" w:styleId="47">
    <w:name w:val="批注框文本 字符"/>
    <w:basedOn w:val="26"/>
    <w:link w:val="18"/>
    <w:semiHidden/>
    <w:qFormat/>
    <w:uiPriority w:val="99"/>
    <w:rPr>
      <w:rFonts w:ascii="仿宋_GB2312" w:hAnsi="Times New Roman" w:eastAsia="仿宋_GB2312" w:cs="Times New Roman"/>
      <w:sz w:val="18"/>
      <w:szCs w:val="18"/>
    </w:rPr>
  </w:style>
  <w:style w:type="character" w:customStyle="1" w:styleId="48">
    <w:name w:val="批注文字 字符"/>
    <w:basedOn w:val="26"/>
    <w:link w:val="13"/>
    <w:qFormat/>
    <w:uiPriority w:val="99"/>
    <w:rPr>
      <w:rFonts w:ascii="仿宋_GB2312" w:hAnsi="Times New Roman" w:eastAsia="仿宋_GB2312" w:cs="Times New Roman"/>
      <w:sz w:val="32"/>
      <w:szCs w:val="20"/>
    </w:rPr>
  </w:style>
  <w:style w:type="character" w:customStyle="1" w:styleId="49">
    <w:name w:val="脚注文本 字符"/>
    <w:basedOn w:val="26"/>
    <w:link w:val="22"/>
    <w:semiHidden/>
    <w:qFormat/>
    <w:uiPriority w:val="99"/>
    <w:rPr>
      <w:rFonts w:ascii="仿宋_GB2312" w:hAnsi="Times New Roman" w:eastAsia="仿宋_GB2312" w:cs="Times New Roman"/>
      <w:sz w:val="18"/>
      <w:szCs w:val="18"/>
    </w:rPr>
  </w:style>
  <w:style w:type="character" w:customStyle="1" w:styleId="50">
    <w:name w:val="批注主题 字符"/>
    <w:basedOn w:val="48"/>
    <w:link w:val="12"/>
    <w:semiHidden/>
    <w:qFormat/>
    <w:uiPriority w:val="99"/>
    <w:rPr>
      <w:rFonts w:ascii="仿宋_GB2312" w:hAnsi="Times New Roman" w:eastAsia="仿宋_GB2312" w:cs="Times New Roman"/>
      <w:b/>
      <w:bCs/>
      <w:sz w:val="32"/>
      <w:szCs w:val="20"/>
    </w:rPr>
  </w:style>
  <w:style w:type="paragraph" w:customStyle="1" w:styleId="51">
    <w:name w:val="修订1"/>
    <w:hidden/>
    <w:semiHidden/>
    <w:qFormat/>
    <w:uiPriority w:val="99"/>
    <w:rPr>
      <w:rFonts w:ascii="仿宋_GB2312" w:hAnsi="Times New Roman" w:eastAsia="仿宋_GB2312" w:cs="Times New Roman"/>
      <w:kern w:val="2"/>
      <w:sz w:val="32"/>
      <w:lang w:val="en-US" w:eastAsia="zh-CN" w:bidi="ar-SA"/>
    </w:rPr>
  </w:style>
  <w:style w:type="paragraph" w:customStyle="1" w:styleId="52">
    <w:name w:val="List Paragraph"/>
    <w:basedOn w:val="1"/>
    <w:qFormat/>
    <w:uiPriority w:val="34"/>
    <w:pPr>
      <w:ind w:firstLine="420"/>
    </w:pPr>
  </w:style>
  <w:style w:type="character" w:customStyle="1" w:styleId="53">
    <w:name w:val="文档结构图 字符"/>
    <w:basedOn w:val="26"/>
    <w:link w:val="14"/>
    <w:semiHidden/>
    <w:qFormat/>
    <w:uiPriority w:val="99"/>
    <w:rPr>
      <w:rFonts w:ascii="宋体" w:hAnsi="Times New Roman" w:eastAsia="宋体" w:cs="Times New Roman"/>
      <w:kern w:val="2"/>
      <w:sz w:val="18"/>
      <w:szCs w:val="18"/>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p0"/>
    <w:basedOn w:val="1"/>
    <w:qFormat/>
    <w:uiPriority w:val="0"/>
    <w:pPr>
      <w:spacing w:before="100" w:beforeAutospacing="1" w:after="100" w:afterAutospacing="1"/>
      <w:ind w:firstLine="880"/>
    </w:pPr>
    <w:rPr>
      <w:rFonts w:ascii="宋体" w:hAnsi="宋体" w:cs="宋体"/>
      <w:kern w:val="0"/>
    </w:rPr>
  </w:style>
  <w:style w:type="character" w:customStyle="1" w:styleId="57">
    <w:name w:val="font51"/>
    <w:basedOn w:val="26"/>
    <w:qFormat/>
    <w:uiPriority w:val="0"/>
    <w:rPr>
      <w:rFonts w:hint="eastAsia" w:ascii="宋体" w:hAnsi="宋体" w:eastAsia="宋体" w:cs="宋体"/>
      <w:b/>
      <w:color w:val="000000"/>
      <w:sz w:val="24"/>
      <w:szCs w:val="24"/>
      <w:u w:val="none"/>
    </w:rPr>
  </w:style>
  <w:style w:type="character" w:customStyle="1" w:styleId="58">
    <w:name w:val="font21"/>
    <w:basedOn w:val="26"/>
    <w:qFormat/>
    <w:uiPriority w:val="0"/>
    <w:rPr>
      <w:rFonts w:hint="default" w:ascii="Times New Roman" w:hAnsi="Times New Roman" w:cs="Times New Roman"/>
      <w:b/>
      <w:color w:val="000000"/>
      <w:sz w:val="24"/>
      <w:szCs w:val="24"/>
      <w:u w:val="none"/>
    </w:rPr>
  </w:style>
  <w:style w:type="character" w:customStyle="1" w:styleId="59">
    <w:name w:val="font81"/>
    <w:basedOn w:val="26"/>
    <w:qFormat/>
    <w:uiPriority w:val="0"/>
    <w:rPr>
      <w:rFonts w:hint="eastAsia" w:ascii="宋体" w:hAnsi="宋体" w:eastAsia="宋体" w:cs="宋体"/>
      <w:color w:val="000000"/>
      <w:sz w:val="20"/>
      <w:szCs w:val="20"/>
      <w:u w:val="none"/>
    </w:rPr>
  </w:style>
  <w:style w:type="character" w:customStyle="1" w:styleId="60">
    <w:name w:val="font91"/>
    <w:basedOn w:val="26"/>
    <w:qFormat/>
    <w:uiPriority w:val="0"/>
    <w:rPr>
      <w:rFonts w:hint="default" w:ascii="Times New Roman" w:hAnsi="Times New Roman" w:cs="Times New Roman"/>
      <w:color w:val="000000"/>
      <w:sz w:val="20"/>
      <w:szCs w:val="20"/>
      <w:u w:val="none"/>
    </w:rPr>
  </w:style>
  <w:style w:type="character" w:customStyle="1" w:styleId="61">
    <w:name w:val="font41"/>
    <w:basedOn w:val="26"/>
    <w:qFormat/>
    <w:uiPriority w:val="0"/>
    <w:rPr>
      <w:rFonts w:hint="default" w:ascii="Times New Roman" w:hAnsi="Times New Roman" w:cs="Times New Roman"/>
      <w:color w:val="000000"/>
      <w:sz w:val="21"/>
      <w:szCs w:val="21"/>
      <w:u w:val="none"/>
    </w:rPr>
  </w:style>
  <w:style w:type="character" w:customStyle="1" w:styleId="62">
    <w:name w:val="font112"/>
    <w:basedOn w:val="26"/>
    <w:qFormat/>
    <w:uiPriority w:val="0"/>
    <w:rPr>
      <w:rFonts w:hint="eastAsia" w:ascii="宋体" w:hAnsi="宋体" w:eastAsia="宋体" w:cs="宋体"/>
      <w:color w:val="000000"/>
      <w:sz w:val="21"/>
      <w:szCs w:val="21"/>
      <w:u w:val="none"/>
    </w:rPr>
  </w:style>
  <w:style w:type="character" w:customStyle="1" w:styleId="63">
    <w:name w:val="font121"/>
    <w:basedOn w:val="26"/>
    <w:qFormat/>
    <w:uiPriority w:val="0"/>
    <w:rPr>
      <w:rFonts w:hint="default" w:ascii="Times New Roman" w:hAnsi="Times New Roman" w:cs="Times New Roman"/>
      <w:color w:val="000000"/>
      <w:sz w:val="21"/>
      <w:szCs w:val="21"/>
      <w:u w:val="none"/>
    </w:rPr>
  </w:style>
  <w:style w:type="character" w:customStyle="1" w:styleId="64">
    <w:name w:val="font111"/>
    <w:basedOn w:val="26"/>
    <w:qFormat/>
    <w:uiPriority w:val="0"/>
    <w:rPr>
      <w:rFonts w:hint="eastAsia" w:ascii="宋体" w:hAnsi="宋体" w:eastAsia="宋体" w:cs="宋体"/>
      <w:color w:val="000000"/>
      <w:sz w:val="21"/>
      <w:szCs w:val="21"/>
      <w:u w:val="none"/>
    </w:rPr>
  </w:style>
  <w:style w:type="character" w:customStyle="1" w:styleId="65">
    <w:name w:val="font122"/>
    <w:basedOn w:val="2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D1962E-D404-4221-BCD6-12BB193A8D91}">
  <ds:schemaRefs/>
</ds:datastoreItem>
</file>

<file path=docProps/app.xml><?xml version="1.0" encoding="utf-8"?>
<Properties xmlns="http://schemas.openxmlformats.org/officeDocument/2006/extended-properties" xmlns:vt="http://schemas.openxmlformats.org/officeDocument/2006/docPropsVTypes">
  <Template>Normal</Template>
  <Pages>42</Pages>
  <Words>17679</Words>
  <Characters>18197</Characters>
  <Lines>137</Lines>
  <Paragraphs>38</Paragraphs>
  <ScaleCrop>false</ScaleCrop>
  <LinksUpToDate>false</LinksUpToDate>
  <CharactersWithSpaces>18320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2021-04-19T07:57:00Z</dcterms:created>
  <dc:creator>杨旭东</dc:creator>
  <cp:lastModifiedBy>Administrator</cp:lastModifiedBy>
  <cp:lastPrinted>2021-06-01T09:56:00Z</cp:lastPrinted>
  <dcterms:modified xsi:type="dcterms:W3CDTF">2023-12-22T02:42:31Z</dcterms:modified>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y fmtid="{D5CDD505-2E9C-101B-9397-08002B2CF9AE}" pid="3" name="ICV">
    <vt:lpwstr>5B7DC70D4CE740BAAE10EC0ACC63F27A</vt:lpwstr>
  </property>
  <property fmtid="{D5CDD505-2E9C-101B-9397-08002B2CF9AE}" pid="4" name="KSOSaveFontToCloudKey">
    <vt:lpwstr>0_embed</vt:lpwstr>
  </property>
</Properties>
</file>