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211" w:beforeLines="50" w:after="211" w:afterLines="50" w:line="360" w:lineRule="auto"/>
        <w:jc w:val="center"/>
        <w:rPr>
          <w:rFonts w:ascii="楷体" w:hAnsi="楷体" w:eastAsia="楷体"/>
          <w:b/>
          <w:bCs/>
          <w:color w:val="000000"/>
          <w:sz w:val="36"/>
          <w:szCs w:val="36"/>
          <w:highlight w:val="none"/>
        </w:rPr>
      </w:pPr>
    </w:p>
    <w:p>
      <w:pPr>
        <w:autoSpaceDE w:val="0"/>
        <w:autoSpaceDN w:val="0"/>
        <w:adjustRightInd w:val="0"/>
        <w:spacing w:before="211" w:beforeLines="50" w:after="211" w:afterLines="50" w:line="360" w:lineRule="auto"/>
        <w:jc w:val="center"/>
        <w:rPr>
          <w:rFonts w:hint="eastAsia" w:ascii="楷体" w:hAnsi="楷体" w:eastAsia="楷体"/>
          <w:b/>
          <w:bCs/>
          <w:color w:val="000000"/>
          <w:sz w:val="36"/>
          <w:szCs w:val="36"/>
          <w:highlight w:val="none"/>
        </w:rPr>
      </w:pPr>
      <w:r>
        <w:rPr>
          <w:rFonts w:hint="eastAsia" w:ascii="楷体" w:hAnsi="楷体" w:eastAsia="楷体"/>
          <w:b/>
          <w:bCs/>
          <w:color w:val="000000"/>
          <w:sz w:val="36"/>
          <w:szCs w:val="36"/>
          <w:highlight w:val="none"/>
        </w:rPr>
        <w:t>2019年西双版纳州勐海县土地储备项目</w:t>
      </w:r>
    </w:p>
    <w:p>
      <w:pPr>
        <w:autoSpaceDE w:val="0"/>
        <w:autoSpaceDN w:val="0"/>
        <w:adjustRightInd w:val="0"/>
        <w:spacing w:before="211" w:beforeLines="50" w:after="211" w:afterLines="50" w:line="360" w:lineRule="auto"/>
        <w:jc w:val="center"/>
        <w:rPr>
          <w:rFonts w:hint="eastAsia" w:ascii="楷体" w:hAnsi="楷体" w:eastAsia="楷体"/>
          <w:b/>
          <w:bCs/>
          <w:color w:val="000000"/>
          <w:sz w:val="36"/>
          <w:szCs w:val="36"/>
          <w:highlight w:val="none"/>
        </w:rPr>
      </w:pPr>
      <w:r>
        <w:rPr>
          <w:rFonts w:hint="eastAsia" w:ascii="楷体" w:hAnsi="楷体" w:eastAsia="楷体"/>
          <w:b/>
          <w:bCs/>
          <w:color w:val="000000"/>
          <w:sz w:val="36"/>
          <w:szCs w:val="36"/>
          <w:highlight w:val="none"/>
        </w:rPr>
        <w:t>专项债券（调整）</w:t>
      </w:r>
    </w:p>
    <w:p>
      <w:pPr>
        <w:autoSpaceDE w:val="0"/>
        <w:autoSpaceDN w:val="0"/>
        <w:adjustRightInd w:val="0"/>
        <w:spacing w:before="211" w:beforeLines="50" w:after="211" w:afterLines="50" w:line="360" w:lineRule="auto"/>
        <w:jc w:val="center"/>
        <w:rPr>
          <w:rFonts w:ascii="楷体" w:hAnsi="楷体" w:eastAsia="楷体"/>
          <w:b/>
          <w:bCs/>
          <w:color w:val="000000"/>
          <w:sz w:val="36"/>
          <w:szCs w:val="36"/>
          <w:highlight w:val="none"/>
        </w:rPr>
      </w:pPr>
      <w:r>
        <w:rPr>
          <w:rFonts w:hint="eastAsia" w:ascii="楷体" w:hAnsi="楷体" w:eastAsia="楷体"/>
          <w:b/>
          <w:bCs/>
          <w:color w:val="000000"/>
          <w:sz w:val="36"/>
          <w:szCs w:val="36"/>
          <w:highlight w:val="none"/>
        </w:rPr>
        <w:t>法律意见书</w:t>
      </w:r>
    </w:p>
    <w:p>
      <w:pPr>
        <w:pStyle w:val="41"/>
        <w:spacing w:before="211" w:beforeLines="50" w:after="211" w:afterLines="50" w:line="360" w:lineRule="auto"/>
        <w:jc w:val="center"/>
        <w:rPr>
          <w:rFonts w:hAnsi="楷体" w:cs="Times New Roman"/>
          <w:highlight w:val="none"/>
        </w:rPr>
      </w:pPr>
    </w:p>
    <w:p>
      <w:pPr>
        <w:pStyle w:val="41"/>
        <w:spacing w:before="211" w:beforeLines="50" w:after="211" w:afterLines="50" w:line="360" w:lineRule="auto"/>
        <w:jc w:val="center"/>
        <w:rPr>
          <w:rFonts w:hAnsi="楷体" w:cs="Times New Roman"/>
          <w:highlight w:val="none"/>
        </w:rPr>
      </w:pPr>
      <w:r>
        <w:rPr>
          <w:rFonts w:ascii="宋体" w:hAnsi="宋体" w:eastAsia="宋体" w:cs="宋体"/>
          <w:highlight w:val="none"/>
        </w:rPr>
        <w:fldChar w:fldCharType="begin"/>
      </w:r>
      <w:r>
        <w:rPr>
          <w:rFonts w:ascii="宋体" w:hAnsi="宋体" w:eastAsia="宋体" w:cs="宋体"/>
          <w:highlight w:val="none"/>
        </w:rPr>
        <w:instrText xml:space="preserve">INCLUDEPICTURE \d "http://www.junzejun.com/Template/cn/images/logo.png" \* MERGEFORMATINET </w:instrText>
      </w:r>
      <w:r>
        <w:rPr>
          <w:rFonts w:ascii="宋体" w:hAnsi="宋体" w:eastAsia="宋体" w:cs="宋体"/>
          <w:highlight w:val="none"/>
        </w:rPr>
        <w:fldChar w:fldCharType="separate"/>
      </w:r>
      <w:r>
        <w:rPr>
          <w:rFonts w:ascii="宋体" w:hAnsi="宋体" w:eastAsia="宋体" w:cs="宋体"/>
          <w:highlight w:val="none"/>
        </w:rPr>
        <w:drawing>
          <wp:inline distT="0" distB="0" distL="114300" distR="114300">
            <wp:extent cx="2352675" cy="41910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8"/>
                    <a:stretch>
                      <a:fillRect/>
                    </a:stretch>
                  </pic:blipFill>
                  <pic:spPr>
                    <a:xfrm>
                      <a:off x="0" y="0"/>
                      <a:ext cx="2352675" cy="419100"/>
                    </a:xfrm>
                    <a:prstGeom prst="rect">
                      <a:avLst/>
                    </a:prstGeom>
                    <a:noFill/>
                    <a:ln>
                      <a:noFill/>
                    </a:ln>
                  </pic:spPr>
                </pic:pic>
              </a:graphicData>
            </a:graphic>
          </wp:inline>
        </w:drawing>
      </w:r>
      <w:r>
        <w:rPr>
          <w:rFonts w:ascii="宋体" w:hAnsi="宋体" w:eastAsia="宋体" w:cs="宋体"/>
          <w:highlight w:val="none"/>
        </w:rPr>
        <w:fldChar w:fldCharType="end"/>
      </w:r>
    </w:p>
    <w:p>
      <w:pPr>
        <w:spacing w:before="211" w:beforeLines="50" w:after="211" w:afterLines="50" w:line="360" w:lineRule="auto"/>
        <w:jc w:val="center"/>
        <w:rPr>
          <w:rFonts w:ascii="楷体" w:hAnsi="楷体" w:eastAsia="楷体"/>
          <w:color w:val="000000"/>
          <w:highlight w:val="none"/>
        </w:rPr>
      </w:pPr>
      <w:r>
        <w:rPr>
          <w:rFonts w:hint="eastAsia" w:ascii="楷体" w:hAnsi="楷体" w:eastAsia="楷体"/>
          <w:color w:val="000000"/>
          <w:highlight w:val="none"/>
        </w:rPr>
        <w:t xml:space="preserve"> </w:t>
      </w:r>
    </w:p>
    <w:tbl>
      <w:tblPr>
        <w:tblStyle w:val="25"/>
        <w:tblpPr w:leftFromText="180" w:rightFromText="180" w:vertAnchor="page" w:horzAnchor="page" w:tblpX="1817" w:tblpY="11385"/>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64"/>
        <w:gridCol w:w="1367"/>
        <w:gridCol w:w="1366"/>
        <w:gridCol w:w="1366"/>
        <w:gridCol w:w="136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9" w:hRule="atLeast"/>
        </w:trPr>
        <w:tc>
          <w:tcPr>
            <w:tcW w:w="8700" w:type="dxa"/>
            <w:gridSpan w:val="6"/>
            <w:tcBorders>
              <w:top w:val="nil"/>
              <w:left w:val="nil"/>
              <w:bottom w:val="nil"/>
              <w:right w:val="nil"/>
            </w:tcBorders>
            <w:shd w:val="clear" w:color="auto" w:fill="auto"/>
          </w:tcPr>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sz w:val="13"/>
                <w:szCs w:val="13"/>
                <w:highlight w:val="none"/>
              </w:rPr>
            </w:pPr>
          </w:p>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sz w:val="21"/>
                <w:szCs w:val="21"/>
                <w:highlight w:val="none"/>
              </w:rPr>
            </w:pPr>
            <w:r>
              <w:rPr>
                <w:rFonts w:hint="eastAsia" w:ascii="楷体" w:hAnsi="楷体" w:eastAsia="楷体"/>
                <w:sz w:val="21"/>
                <w:szCs w:val="21"/>
                <w:highlight w:val="none"/>
              </w:rPr>
              <w:t>中国昆明万达广场南塔65a10</w:t>
            </w:r>
            <w:r>
              <w:rPr>
                <w:rFonts w:hint="default" w:ascii="楷体" w:hAnsi="楷体" w:eastAsia="楷体"/>
                <w:sz w:val="21"/>
                <w:szCs w:val="21"/>
                <w:highlight w:val="none"/>
              </w:rPr>
              <w:t>，邮编：6</w:t>
            </w:r>
            <w:r>
              <w:rPr>
                <w:rFonts w:hint="eastAsia" w:ascii="楷体" w:hAnsi="楷体" w:eastAsia="楷体"/>
                <w:sz w:val="21"/>
                <w:szCs w:val="21"/>
                <w:highlight w:val="none"/>
              </w:rPr>
              <w:t>50100</w:t>
            </w:r>
          </w:p>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sz w:val="13"/>
                <w:szCs w:val="13"/>
                <w:highlight w:val="none"/>
              </w:rPr>
            </w:pPr>
            <w:r>
              <w:rPr>
                <w:rFonts w:hint="default" w:ascii="楷体" w:hAnsi="楷体" w:eastAsia="楷体"/>
                <w:sz w:val="21"/>
                <w:szCs w:val="21"/>
                <w:highlight w:val="none"/>
              </w:rPr>
              <w:t xml:space="preserve">网址/Website: </w:t>
            </w:r>
            <w:r>
              <w:rPr>
                <w:rFonts w:hint="eastAsia" w:ascii="楷体" w:hAnsi="楷体" w:eastAsia="楷体"/>
                <w:sz w:val="21"/>
                <w:szCs w:val="21"/>
                <w:highlight w:val="none"/>
              </w:rPr>
              <w:t>http://www.junzejun.com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3" w:hRule="atLeast"/>
        </w:trPr>
        <w:tc>
          <w:tcPr>
            <w:tcW w:w="1664" w:type="dxa"/>
            <w:tcBorders>
              <w:top w:val="nil"/>
              <w:left w:val="nil"/>
              <w:bottom w:val="nil"/>
              <w:right w:val="nil"/>
            </w:tcBorders>
            <w:shd w:val="clear" w:color="auto" w:fill="auto"/>
          </w:tcPr>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sz w:val="13"/>
                <w:szCs w:val="13"/>
                <w:highlight w:val="none"/>
              </w:rPr>
            </w:pPr>
          </w:p>
        </w:tc>
        <w:tc>
          <w:tcPr>
            <w:tcW w:w="1367" w:type="dxa"/>
            <w:tcBorders>
              <w:top w:val="nil"/>
              <w:left w:val="nil"/>
              <w:bottom w:val="nil"/>
              <w:right w:val="nil"/>
            </w:tcBorders>
            <w:shd w:val="clear" w:color="auto" w:fill="auto"/>
          </w:tcPr>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color w:val="000000"/>
                <w:sz w:val="13"/>
                <w:szCs w:val="13"/>
                <w:highlight w:val="none"/>
              </w:rPr>
            </w:pPr>
          </w:p>
        </w:tc>
        <w:tc>
          <w:tcPr>
            <w:tcW w:w="1366" w:type="dxa"/>
            <w:tcBorders>
              <w:top w:val="nil"/>
              <w:left w:val="nil"/>
              <w:bottom w:val="nil"/>
              <w:right w:val="nil"/>
            </w:tcBorders>
            <w:shd w:val="clear" w:color="auto" w:fill="auto"/>
          </w:tcPr>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b/>
                <w:sz w:val="13"/>
                <w:szCs w:val="13"/>
                <w:highlight w:val="none"/>
              </w:rPr>
            </w:pPr>
          </w:p>
        </w:tc>
        <w:tc>
          <w:tcPr>
            <w:tcW w:w="1366" w:type="dxa"/>
            <w:tcBorders>
              <w:top w:val="nil"/>
              <w:left w:val="nil"/>
              <w:bottom w:val="nil"/>
              <w:right w:val="nil"/>
            </w:tcBorders>
            <w:shd w:val="clear" w:color="auto" w:fill="auto"/>
          </w:tcPr>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sz w:val="13"/>
                <w:szCs w:val="13"/>
                <w:highlight w:val="none"/>
              </w:rPr>
            </w:pPr>
          </w:p>
        </w:tc>
        <w:tc>
          <w:tcPr>
            <w:tcW w:w="1366" w:type="dxa"/>
            <w:tcBorders>
              <w:top w:val="nil"/>
              <w:left w:val="nil"/>
              <w:bottom w:val="nil"/>
              <w:right w:val="nil"/>
            </w:tcBorders>
            <w:shd w:val="clear" w:color="auto" w:fill="auto"/>
          </w:tcPr>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sz w:val="13"/>
                <w:szCs w:val="13"/>
                <w:highlight w:val="none"/>
              </w:rPr>
            </w:pPr>
          </w:p>
        </w:tc>
        <w:tc>
          <w:tcPr>
            <w:tcW w:w="1571" w:type="dxa"/>
            <w:tcBorders>
              <w:top w:val="nil"/>
              <w:left w:val="nil"/>
              <w:bottom w:val="nil"/>
              <w:right w:val="nil"/>
            </w:tcBorders>
            <w:shd w:val="clear" w:color="auto" w:fill="auto"/>
          </w:tcPr>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sz w:val="13"/>
                <w:szCs w:val="1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57" w:hRule="atLeast"/>
        </w:trPr>
        <w:tc>
          <w:tcPr>
            <w:tcW w:w="8700" w:type="dxa"/>
            <w:gridSpan w:val="6"/>
            <w:tcBorders>
              <w:top w:val="nil"/>
              <w:left w:val="nil"/>
              <w:bottom w:val="nil"/>
              <w:right w:val="nil"/>
            </w:tcBorders>
            <w:shd w:val="clear" w:color="auto" w:fill="auto"/>
          </w:tcPr>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color w:val="000000"/>
                <w:highlight w:val="none"/>
              </w:rPr>
            </w:pPr>
            <w:r>
              <w:rPr>
                <w:rFonts w:hint="eastAsia" w:ascii="楷体" w:hAnsi="楷体" w:eastAsia="楷体"/>
                <w:color w:val="000000"/>
                <w:highlight w:val="none"/>
              </w:rPr>
              <w:t>| 北京 | 上海 |</w:t>
            </w:r>
            <w:r>
              <w:rPr>
                <w:rFonts w:hint="default" w:ascii="楷体" w:hAnsi="楷体" w:eastAsia="楷体"/>
                <w:color w:val="000000"/>
                <w:highlight w:val="none"/>
              </w:rPr>
              <w:t xml:space="preserve"> </w:t>
            </w:r>
            <w:r>
              <w:rPr>
                <w:rFonts w:hint="eastAsia" w:ascii="楷体" w:hAnsi="楷体" w:eastAsia="楷体"/>
                <w:color w:val="000000"/>
                <w:highlight w:val="none"/>
              </w:rPr>
              <w:t>深圳 |</w:t>
            </w:r>
            <w:r>
              <w:rPr>
                <w:rFonts w:hint="default" w:ascii="楷体" w:hAnsi="楷体" w:eastAsia="楷体"/>
                <w:color w:val="000000"/>
                <w:highlight w:val="none"/>
              </w:rPr>
              <w:t xml:space="preserve"> </w:t>
            </w:r>
            <w:r>
              <w:rPr>
                <w:rFonts w:hint="eastAsia" w:ascii="楷体" w:hAnsi="楷体" w:eastAsia="楷体"/>
                <w:color w:val="000000"/>
                <w:highlight w:val="none"/>
              </w:rPr>
              <w:t xml:space="preserve">广州 | </w:t>
            </w:r>
            <w:r>
              <w:rPr>
                <w:rFonts w:hint="eastAsia" w:ascii="楷体" w:hAnsi="楷体" w:eastAsia="楷体"/>
                <w:color w:val="000000"/>
                <w:highlight w:val="none"/>
                <w:lang w:eastAsia="zh-Hans"/>
              </w:rPr>
              <w:t>成都</w:t>
            </w:r>
            <w:r>
              <w:rPr>
                <w:rFonts w:hint="eastAsia" w:ascii="楷体" w:hAnsi="楷体" w:eastAsia="楷体"/>
                <w:color w:val="000000"/>
                <w:highlight w:val="none"/>
              </w:rPr>
              <w:t xml:space="preserve"> |</w:t>
            </w:r>
            <w:r>
              <w:rPr>
                <w:rFonts w:hint="default" w:ascii="楷体" w:hAnsi="楷体" w:eastAsia="楷体"/>
                <w:color w:val="000000"/>
                <w:highlight w:val="none"/>
              </w:rPr>
              <w:t xml:space="preserve"> </w:t>
            </w:r>
            <w:r>
              <w:rPr>
                <w:rFonts w:hint="eastAsia" w:ascii="楷体" w:hAnsi="楷体" w:eastAsia="楷体"/>
                <w:color w:val="000000"/>
                <w:highlight w:val="none"/>
                <w:lang w:eastAsia="zh-Hans"/>
              </w:rPr>
              <w:t>南京</w:t>
            </w:r>
            <w:r>
              <w:rPr>
                <w:rFonts w:hint="eastAsia" w:ascii="楷体" w:hAnsi="楷体" w:eastAsia="楷体"/>
                <w:color w:val="000000"/>
                <w:highlight w:val="none"/>
              </w:rPr>
              <w:t xml:space="preserve"> | </w:t>
            </w:r>
            <w:r>
              <w:rPr>
                <w:rFonts w:hint="eastAsia" w:ascii="楷体" w:hAnsi="楷体" w:eastAsia="楷体"/>
                <w:color w:val="000000"/>
                <w:highlight w:val="none"/>
                <w:lang w:eastAsia="zh-Hans"/>
              </w:rPr>
              <w:t>天津</w:t>
            </w:r>
            <w:r>
              <w:rPr>
                <w:rFonts w:hint="eastAsia" w:ascii="楷体" w:hAnsi="楷体" w:eastAsia="楷体"/>
                <w:color w:val="000000"/>
                <w:highlight w:val="none"/>
              </w:rPr>
              <w:t xml:space="preserve"> | 长</w:t>
            </w:r>
            <w:r>
              <w:rPr>
                <w:rFonts w:hint="eastAsia" w:ascii="楷体" w:hAnsi="楷体" w:eastAsia="楷体"/>
                <w:color w:val="000000"/>
                <w:highlight w:val="none"/>
                <w:lang w:eastAsia="zh-Hans"/>
              </w:rPr>
              <w:t>沙</w:t>
            </w:r>
            <w:r>
              <w:rPr>
                <w:rFonts w:hint="eastAsia" w:ascii="楷体" w:hAnsi="楷体" w:eastAsia="楷体"/>
                <w:color w:val="000000"/>
                <w:highlight w:val="none"/>
              </w:rPr>
              <w:t xml:space="preserve"> |</w:t>
            </w:r>
            <w:r>
              <w:rPr>
                <w:rFonts w:hint="default" w:ascii="楷体" w:hAnsi="楷体" w:eastAsia="楷体"/>
                <w:color w:val="000000"/>
                <w:highlight w:val="none"/>
              </w:rPr>
              <w:t xml:space="preserve"> </w:t>
            </w:r>
            <w:r>
              <w:rPr>
                <w:rFonts w:hint="eastAsia" w:ascii="楷体" w:hAnsi="楷体" w:eastAsia="楷体"/>
                <w:color w:val="000000"/>
                <w:highlight w:val="none"/>
                <w:lang w:eastAsia="zh-Hans"/>
              </w:rPr>
              <w:t>香港</w:t>
            </w:r>
            <w:r>
              <w:rPr>
                <w:rFonts w:hint="default" w:ascii="楷体" w:hAnsi="楷体" w:eastAsia="楷体"/>
                <w:color w:val="000000"/>
                <w:highlight w:val="none"/>
                <w:lang w:eastAsia="zh-Hans"/>
              </w:rPr>
              <w:t xml:space="preserve"> </w:t>
            </w:r>
            <w:r>
              <w:rPr>
                <w:rFonts w:hint="eastAsia" w:ascii="楷体" w:hAnsi="楷体" w:eastAsia="楷体"/>
                <w:color w:val="000000"/>
                <w:highlight w:val="none"/>
              </w:rPr>
              <w:t xml:space="preserve">| </w:t>
            </w:r>
            <w:r>
              <w:rPr>
                <w:rFonts w:hint="eastAsia" w:ascii="楷体" w:hAnsi="楷体" w:eastAsia="楷体"/>
                <w:color w:val="000000"/>
                <w:highlight w:val="none"/>
                <w:lang w:eastAsia="zh-Hans"/>
              </w:rPr>
              <w:t>长春</w:t>
            </w:r>
            <w:r>
              <w:rPr>
                <w:rFonts w:hint="eastAsia" w:ascii="楷体" w:hAnsi="楷体" w:eastAsia="楷体"/>
                <w:color w:val="000000"/>
                <w:highlight w:val="none"/>
              </w:rPr>
              <w:t xml:space="preserve"> |</w:t>
            </w:r>
          </w:p>
          <w:p>
            <w:pPr>
              <w:keepNext w:val="0"/>
              <w:keepLines w:val="0"/>
              <w:widowControl/>
              <w:suppressLineNumbers w:val="0"/>
              <w:adjustRightInd w:val="0"/>
              <w:snapToGrid w:val="0"/>
              <w:spacing w:before="50" w:beforeAutospacing="0" w:after="50" w:afterAutospacing="0" w:line="360" w:lineRule="auto"/>
              <w:ind w:left="0" w:right="0"/>
              <w:jc w:val="center"/>
              <w:rPr>
                <w:rFonts w:hint="default" w:ascii="楷体" w:hAnsi="楷体" w:eastAsia="楷体"/>
                <w:color w:val="000000"/>
                <w:sz w:val="15"/>
                <w:szCs w:val="15"/>
                <w:highlight w:val="none"/>
              </w:rPr>
            </w:pPr>
            <w:r>
              <w:rPr>
                <w:rFonts w:hint="eastAsia" w:ascii="楷体" w:hAnsi="楷体" w:eastAsia="楷体"/>
                <w:color w:val="000000"/>
                <w:highlight w:val="none"/>
              </w:rPr>
              <w:t>|</w:t>
            </w:r>
            <w:r>
              <w:rPr>
                <w:rFonts w:hint="default" w:ascii="楷体" w:hAnsi="楷体" w:eastAsia="楷体"/>
                <w:color w:val="000000"/>
                <w:highlight w:val="none"/>
              </w:rPr>
              <w:t xml:space="preserve"> </w:t>
            </w:r>
            <w:r>
              <w:rPr>
                <w:rFonts w:hint="eastAsia" w:ascii="楷体" w:hAnsi="楷体" w:eastAsia="楷体"/>
                <w:color w:val="000000"/>
                <w:highlight w:val="none"/>
                <w:lang w:eastAsia="zh-Hans"/>
              </w:rPr>
              <w:t>珠海</w:t>
            </w:r>
            <w:r>
              <w:rPr>
                <w:rFonts w:hint="default" w:ascii="楷体" w:hAnsi="楷体" w:eastAsia="楷体"/>
                <w:color w:val="000000"/>
                <w:highlight w:val="none"/>
                <w:lang w:eastAsia="zh-Hans"/>
              </w:rPr>
              <w:t xml:space="preserve"> </w:t>
            </w:r>
            <w:r>
              <w:rPr>
                <w:rFonts w:hint="eastAsia" w:ascii="楷体" w:hAnsi="楷体" w:eastAsia="楷体"/>
                <w:color w:val="000000"/>
                <w:highlight w:val="none"/>
              </w:rPr>
              <w:t xml:space="preserve">| </w:t>
            </w:r>
            <w:r>
              <w:rPr>
                <w:rFonts w:hint="eastAsia" w:ascii="楷体" w:hAnsi="楷体" w:eastAsia="楷体"/>
                <w:color w:val="000000"/>
                <w:highlight w:val="none"/>
                <w:lang w:eastAsia="zh-Hans"/>
              </w:rPr>
              <w:t>海口</w:t>
            </w:r>
            <w:r>
              <w:rPr>
                <w:rFonts w:hint="eastAsia" w:ascii="楷体" w:hAnsi="楷体" w:eastAsia="楷体"/>
                <w:color w:val="000000"/>
                <w:highlight w:val="none"/>
              </w:rPr>
              <w:t xml:space="preserve"> |</w:t>
            </w:r>
            <w:r>
              <w:rPr>
                <w:rFonts w:hint="default" w:ascii="楷体" w:hAnsi="楷体" w:eastAsia="楷体"/>
                <w:color w:val="000000"/>
                <w:highlight w:val="none"/>
              </w:rPr>
              <w:t xml:space="preserve"> </w:t>
            </w:r>
            <w:r>
              <w:rPr>
                <w:rFonts w:hint="eastAsia" w:ascii="楷体" w:hAnsi="楷体" w:eastAsia="楷体"/>
                <w:color w:val="000000"/>
                <w:highlight w:val="none"/>
                <w:lang w:eastAsia="zh-Hans"/>
              </w:rPr>
              <w:t>昆明</w:t>
            </w:r>
            <w:r>
              <w:rPr>
                <w:rFonts w:hint="default" w:ascii="楷体" w:hAnsi="楷体" w:eastAsia="楷体"/>
                <w:color w:val="000000"/>
                <w:highlight w:val="none"/>
                <w:lang w:eastAsia="zh-Hans"/>
              </w:rPr>
              <w:t xml:space="preserve"> </w:t>
            </w:r>
            <w:r>
              <w:rPr>
                <w:rFonts w:hint="eastAsia" w:ascii="楷体" w:hAnsi="楷体" w:eastAsia="楷体"/>
                <w:color w:val="000000"/>
                <w:highlight w:val="none"/>
              </w:rPr>
              <w:t>|</w:t>
            </w:r>
            <w:r>
              <w:rPr>
                <w:rFonts w:hint="default" w:ascii="楷体" w:hAnsi="楷体" w:eastAsia="楷体"/>
                <w:color w:val="000000"/>
                <w:highlight w:val="none"/>
              </w:rPr>
              <w:t xml:space="preserve"> </w:t>
            </w:r>
            <w:r>
              <w:rPr>
                <w:rFonts w:hint="eastAsia" w:ascii="楷体" w:hAnsi="楷体" w:eastAsia="楷体"/>
                <w:color w:val="000000"/>
                <w:highlight w:val="none"/>
                <w:lang w:eastAsia="zh-Hans"/>
              </w:rPr>
              <w:t>石家庄</w:t>
            </w:r>
            <w:r>
              <w:rPr>
                <w:rFonts w:hint="default" w:ascii="楷体" w:hAnsi="楷体" w:eastAsia="楷体"/>
                <w:color w:val="000000"/>
                <w:highlight w:val="none"/>
                <w:lang w:eastAsia="zh-Hans"/>
              </w:rPr>
              <w:t xml:space="preserve"> </w:t>
            </w:r>
            <w:r>
              <w:rPr>
                <w:rFonts w:hint="eastAsia" w:ascii="楷体" w:hAnsi="楷体" w:eastAsia="楷体"/>
                <w:color w:val="000000"/>
                <w:highlight w:val="none"/>
              </w:rPr>
              <w:t>|</w:t>
            </w:r>
            <w:r>
              <w:rPr>
                <w:rFonts w:hint="default" w:ascii="楷体" w:hAnsi="楷体" w:eastAsia="楷体"/>
                <w:color w:val="000000"/>
                <w:highlight w:val="none"/>
              </w:rPr>
              <w:t xml:space="preserve"> </w:t>
            </w:r>
            <w:r>
              <w:rPr>
                <w:rFonts w:hint="eastAsia" w:ascii="楷体" w:hAnsi="楷体" w:eastAsia="楷体"/>
                <w:color w:val="000000"/>
                <w:highlight w:val="none"/>
                <w:lang w:eastAsia="zh-Hans"/>
              </w:rPr>
              <w:t>郑州</w:t>
            </w:r>
            <w:r>
              <w:rPr>
                <w:rFonts w:hint="default" w:ascii="楷体" w:hAnsi="楷体" w:eastAsia="楷体"/>
                <w:color w:val="000000"/>
                <w:highlight w:val="none"/>
                <w:lang w:eastAsia="zh-Hans"/>
              </w:rPr>
              <w:t xml:space="preserve"> </w:t>
            </w:r>
            <w:r>
              <w:rPr>
                <w:rFonts w:hint="eastAsia" w:ascii="楷体" w:hAnsi="楷体" w:eastAsia="楷体"/>
                <w:color w:val="000000"/>
                <w:highlight w:val="none"/>
              </w:rPr>
              <w:t>|</w:t>
            </w:r>
          </w:p>
        </w:tc>
      </w:tr>
    </w:tbl>
    <w:p>
      <w:pPr>
        <w:rPr>
          <w:highlight w:val="none"/>
        </w:rPr>
      </w:pPr>
    </w:p>
    <w:p>
      <w:pPr>
        <w:spacing w:before="211" w:beforeLines="50" w:after="211" w:afterLines="50" w:line="360" w:lineRule="auto"/>
        <w:rPr>
          <w:rFonts w:ascii="楷体" w:hAnsi="楷体" w:eastAsia="楷体"/>
          <w:color w:val="000000"/>
          <w:kern w:val="18"/>
          <w:sz w:val="18"/>
          <w:highlight w:val="none"/>
        </w:rPr>
      </w:pPr>
    </w:p>
    <w:p>
      <w:pPr>
        <w:rPr>
          <w:rFonts w:ascii="楷体" w:hAnsi="楷体" w:eastAsia="楷体"/>
          <w:b/>
          <w:bCs/>
          <w:color w:val="000000"/>
          <w:kern w:val="44"/>
          <w:sz w:val="32"/>
          <w:highlight w:val="none"/>
        </w:rPr>
      </w:pPr>
    </w:p>
    <w:p>
      <w:pPr>
        <w:pStyle w:val="42"/>
        <w:spacing w:before="211" w:after="211" w:line="360" w:lineRule="auto"/>
        <w:jc w:val="center"/>
        <w:rPr>
          <w:rFonts w:ascii="楷体" w:hAnsi="楷体" w:eastAsia="楷体"/>
          <w:bCs/>
          <w:color w:val="000000"/>
          <w:kern w:val="44"/>
          <w:sz w:val="36"/>
          <w:szCs w:val="36"/>
          <w:highlight w:val="none"/>
        </w:rPr>
      </w:pPr>
    </w:p>
    <w:p>
      <w:pPr>
        <w:pStyle w:val="42"/>
        <w:spacing w:before="211" w:after="211" w:line="360" w:lineRule="auto"/>
        <w:jc w:val="center"/>
        <w:rPr>
          <w:rFonts w:ascii="楷体" w:hAnsi="楷体" w:eastAsia="楷体"/>
          <w:bCs/>
          <w:color w:val="000000"/>
          <w:kern w:val="44"/>
          <w:sz w:val="36"/>
          <w:szCs w:val="36"/>
          <w:highlight w:val="none"/>
        </w:rPr>
      </w:pPr>
      <w:r>
        <w:rPr>
          <w:rFonts w:ascii="楷体" w:hAnsi="楷体" w:eastAsia="楷体"/>
          <w:bCs/>
          <w:color w:val="000000"/>
          <w:kern w:val="44"/>
          <w:sz w:val="36"/>
          <w:szCs w:val="36"/>
          <w:highlight w:val="none"/>
        </w:rPr>
        <w:t>目 录</w:t>
      </w:r>
    </w:p>
    <w:p>
      <w:pPr>
        <w:pStyle w:val="17"/>
        <w:tabs>
          <w:tab w:val="right" w:leader="dot" w:pos="8300"/>
        </w:tabs>
        <w:rPr>
          <w:rFonts w:ascii="楷体" w:hAnsi="楷体" w:eastAsia="楷体" w:cs="楷体"/>
          <w:highlight w:val="none"/>
        </w:rPr>
      </w:pPr>
      <w:r>
        <w:rPr>
          <w:rFonts w:hint="eastAsia" w:ascii="楷体" w:hAnsi="楷体" w:eastAsia="楷体" w:cs="楷体"/>
          <w:kern w:val="2"/>
          <w:highlight w:val="none"/>
        </w:rPr>
        <w:fldChar w:fldCharType="begin"/>
      </w:r>
      <w:r>
        <w:rPr>
          <w:rFonts w:hint="eastAsia" w:ascii="楷体" w:hAnsi="楷体" w:eastAsia="楷体" w:cs="楷体"/>
          <w:kern w:val="2"/>
          <w:highlight w:val="none"/>
        </w:rPr>
        <w:instrText xml:space="preserve"> TOC \o "1-1" </w:instrText>
      </w:r>
      <w:r>
        <w:rPr>
          <w:rFonts w:hint="eastAsia" w:ascii="楷体" w:hAnsi="楷体" w:eastAsia="楷体" w:cs="楷体"/>
          <w:kern w:val="2"/>
          <w:highlight w:val="none"/>
        </w:rPr>
        <w:fldChar w:fldCharType="separate"/>
      </w:r>
      <w:r>
        <w:rPr>
          <w:rFonts w:hint="eastAsia" w:ascii="楷体" w:hAnsi="楷体" w:eastAsia="楷体" w:cs="楷体"/>
          <w:color w:val="000000" w:themeColor="text1"/>
          <w:highlight w:val="none"/>
          <w14:textFill>
            <w14:solidFill>
              <w14:schemeClr w14:val="tx1"/>
            </w14:solidFill>
          </w14:textFill>
        </w:rPr>
        <w:t>声 明</w:t>
      </w:r>
      <w:r>
        <w:rPr>
          <w:rFonts w:hint="eastAsia" w:ascii="楷体" w:hAnsi="楷体" w:eastAsia="楷体" w:cs="楷体"/>
          <w:highlight w:val="none"/>
        </w:rPr>
        <w:tab/>
      </w:r>
      <w:r>
        <w:rPr>
          <w:rFonts w:hint="eastAsia" w:ascii="楷体" w:hAnsi="楷体" w:eastAsia="楷体" w:cs="楷体"/>
          <w:highlight w:val="none"/>
        </w:rPr>
        <w:fldChar w:fldCharType="begin"/>
      </w:r>
      <w:r>
        <w:rPr>
          <w:rFonts w:hint="eastAsia" w:ascii="楷体" w:hAnsi="楷体" w:eastAsia="楷体" w:cs="楷体"/>
          <w:highlight w:val="none"/>
        </w:rPr>
        <w:instrText xml:space="preserve"> PAGEREF _Toc24374 \h </w:instrText>
      </w:r>
      <w:r>
        <w:rPr>
          <w:rFonts w:hint="eastAsia" w:ascii="楷体" w:hAnsi="楷体" w:eastAsia="楷体" w:cs="楷体"/>
          <w:highlight w:val="none"/>
        </w:rPr>
        <w:fldChar w:fldCharType="separate"/>
      </w:r>
      <w:r>
        <w:rPr>
          <w:rFonts w:hint="eastAsia" w:ascii="楷体" w:hAnsi="楷体" w:eastAsia="楷体" w:cs="楷体"/>
          <w:highlight w:val="none"/>
        </w:rPr>
        <w:t>2</w:t>
      </w:r>
      <w:r>
        <w:rPr>
          <w:rFonts w:hint="eastAsia" w:ascii="楷体" w:hAnsi="楷体" w:eastAsia="楷体" w:cs="楷体"/>
          <w:highlight w:val="none"/>
        </w:rPr>
        <w:fldChar w:fldCharType="end"/>
      </w:r>
    </w:p>
    <w:p>
      <w:pPr>
        <w:pStyle w:val="17"/>
        <w:tabs>
          <w:tab w:val="right" w:leader="dot" w:pos="8300"/>
        </w:tabs>
        <w:rPr>
          <w:rFonts w:ascii="楷体" w:hAnsi="楷体" w:eastAsia="楷体" w:cs="楷体"/>
          <w:highlight w:val="none"/>
        </w:rPr>
      </w:pPr>
      <w:r>
        <w:rPr>
          <w:rFonts w:hint="eastAsia" w:ascii="楷体" w:hAnsi="楷体" w:eastAsia="楷体" w:cs="楷体"/>
          <w:color w:val="000000" w:themeColor="text1"/>
          <w:highlight w:val="none"/>
          <w14:textFill>
            <w14:solidFill>
              <w14:schemeClr w14:val="tx1"/>
            </w14:solidFill>
          </w14:textFill>
        </w:rPr>
        <w:t>第一部分  释 义</w:t>
      </w:r>
      <w:r>
        <w:rPr>
          <w:rFonts w:hint="eastAsia" w:ascii="楷体" w:hAnsi="楷体" w:eastAsia="楷体" w:cs="楷体"/>
          <w:highlight w:val="none"/>
        </w:rPr>
        <w:tab/>
      </w:r>
      <w:r>
        <w:rPr>
          <w:rFonts w:hint="eastAsia" w:ascii="楷体" w:hAnsi="楷体" w:eastAsia="楷体" w:cs="楷体"/>
          <w:highlight w:val="none"/>
        </w:rPr>
        <w:fldChar w:fldCharType="begin"/>
      </w:r>
      <w:r>
        <w:rPr>
          <w:rFonts w:hint="eastAsia" w:ascii="楷体" w:hAnsi="楷体" w:eastAsia="楷体" w:cs="楷体"/>
          <w:highlight w:val="none"/>
        </w:rPr>
        <w:instrText xml:space="preserve"> PAGEREF _Toc6344 \h </w:instrText>
      </w:r>
      <w:r>
        <w:rPr>
          <w:rFonts w:hint="eastAsia" w:ascii="楷体" w:hAnsi="楷体" w:eastAsia="楷体" w:cs="楷体"/>
          <w:highlight w:val="none"/>
        </w:rPr>
        <w:fldChar w:fldCharType="separate"/>
      </w:r>
      <w:r>
        <w:rPr>
          <w:rFonts w:hint="eastAsia" w:ascii="楷体" w:hAnsi="楷体" w:eastAsia="楷体" w:cs="楷体"/>
          <w:highlight w:val="none"/>
        </w:rPr>
        <w:t>4</w:t>
      </w:r>
      <w:r>
        <w:rPr>
          <w:rFonts w:hint="eastAsia" w:ascii="楷体" w:hAnsi="楷体" w:eastAsia="楷体" w:cs="楷体"/>
          <w:highlight w:val="none"/>
        </w:rPr>
        <w:fldChar w:fldCharType="end"/>
      </w:r>
    </w:p>
    <w:p>
      <w:pPr>
        <w:pStyle w:val="17"/>
        <w:tabs>
          <w:tab w:val="right" w:leader="dot" w:pos="8300"/>
        </w:tabs>
        <w:rPr>
          <w:rFonts w:ascii="楷体" w:hAnsi="楷体" w:eastAsia="楷体" w:cs="楷体"/>
          <w:highlight w:val="none"/>
        </w:rPr>
      </w:pPr>
      <w:r>
        <w:rPr>
          <w:rFonts w:hint="eastAsia" w:ascii="楷体" w:hAnsi="楷体" w:eastAsia="楷体" w:cs="楷体"/>
          <w:color w:val="000000" w:themeColor="text1"/>
          <w:highlight w:val="none"/>
          <w14:textFill>
            <w14:solidFill>
              <w14:schemeClr w14:val="tx1"/>
            </w14:solidFill>
          </w14:textFill>
        </w:rPr>
        <w:t>第二部分  正 文</w:t>
      </w:r>
      <w:r>
        <w:rPr>
          <w:rFonts w:hint="eastAsia" w:ascii="楷体" w:hAnsi="楷体" w:eastAsia="楷体" w:cs="楷体"/>
          <w:highlight w:val="none"/>
        </w:rPr>
        <w:tab/>
      </w:r>
      <w:r>
        <w:rPr>
          <w:rFonts w:hint="eastAsia" w:ascii="楷体" w:hAnsi="楷体" w:eastAsia="楷体" w:cs="楷体"/>
          <w:highlight w:val="none"/>
        </w:rPr>
        <w:fldChar w:fldCharType="begin"/>
      </w:r>
      <w:r>
        <w:rPr>
          <w:rFonts w:hint="eastAsia" w:ascii="楷体" w:hAnsi="楷体" w:eastAsia="楷体" w:cs="楷体"/>
          <w:highlight w:val="none"/>
        </w:rPr>
        <w:instrText xml:space="preserve"> PAGEREF _Toc4726 \h </w:instrText>
      </w:r>
      <w:r>
        <w:rPr>
          <w:rFonts w:hint="eastAsia" w:ascii="楷体" w:hAnsi="楷体" w:eastAsia="楷体" w:cs="楷体"/>
          <w:highlight w:val="none"/>
        </w:rPr>
        <w:fldChar w:fldCharType="separate"/>
      </w:r>
      <w:r>
        <w:rPr>
          <w:rFonts w:hint="eastAsia" w:ascii="楷体" w:hAnsi="楷体" w:eastAsia="楷体" w:cs="楷体"/>
          <w:highlight w:val="none"/>
        </w:rPr>
        <w:t>5</w:t>
      </w:r>
      <w:r>
        <w:rPr>
          <w:rFonts w:hint="eastAsia" w:ascii="楷体" w:hAnsi="楷体" w:eastAsia="楷体" w:cs="楷体"/>
          <w:highlight w:val="none"/>
        </w:rPr>
        <w:fldChar w:fldCharType="end"/>
      </w:r>
    </w:p>
    <w:p>
      <w:pPr>
        <w:pStyle w:val="17"/>
        <w:tabs>
          <w:tab w:val="right" w:leader="dot" w:pos="8300"/>
        </w:tabs>
        <w:rPr>
          <w:rFonts w:ascii="楷体" w:hAnsi="楷体" w:eastAsia="楷体" w:cs="楷体"/>
          <w:highlight w:val="none"/>
        </w:rPr>
      </w:pPr>
      <w:r>
        <w:rPr>
          <w:rFonts w:hint="eastAsia" w:ascii="楷体" w:hAnsi="楷体" w:eastAsia="楷体" w:cs="楷体"/>
          <w:color w:val="000000" w:themeColor="text1"/>
          <w:highlight w:val="none"/>
          <w14:textFill>
            <w14:solidFill>
              <w14:schemeClr w14:val="tx1"/>
            </w14:solidFill>
          </w14:textFill>
        </w:rPr>
        <w:t>一、项目实施主体</w:t>
      </w:r>
      <w:r>
        <w:rPr>
          <w:rFonts w:hint="eastAsia" w:ascii="楷体" w:hAnsi="楷体" w:eastAsia="楷体" w:cs="楷体"/>
          <w:highlight w:val="none"/>
        </w:rPr>
        <w:tab/>
      </w:r>
      <w:r>
        <w:rPr>
          <w:rFonts w:hint="eastAsia" w:ascii="楷体" w:hAnsi="楷体" w:eastAsia="楷体" w:cs="楷体"/>
          <w:highlight w:val="none"/>
        </w:rPr>
        <w:fldChar w:fldCharType="begin"/>
      </w:r>
      <w:r>
        <w:rPr>
          <w:rFonts w:hint="eastAsia" w:ascii="楷体" w:hAnsi="楷体" w:eastAsia="楷体" w:cs="楷体"/>
          <w:highlight w:val="none"/>
        </w:rPr>
        <w:instrText xml:space="preserve"> PAGEREF _Toc6255 \h </w:instrText>
      </w:r>
      <w:r>
        <w:rPr>
          <w:rFonts w:hint="eastAsia" w:ascii="楷体" w:hAnsi="楷体" w:eastAsia="楷体" w:cs="楷体"/>
          <w:highlight w:val="none"/>
        </w:rPr>
        <w:fldChar w:fldCharType="separate"/>
      </w:r>
      <w:r>
        <w:rPr>
          <w:rFonts w:hint="eastAsia" w:ascii="楷体" w:hAnsi="楷体" w:eastAsia="楷体" w:cs="楷体"/>
          <w:highlight w:val="none"/>
        </w:rPr>
        <w:t>5</w:t>
      </w:r>
      <w:r>
        <w:rPr>
          <w:rFonts w:hint="eastAsia" w:ascii="楷体" w:hAnsi="楷体" w:eastAsia="楷体" w:cs="楷体"/>
          <w:highlight w:val="none"/>
        </w:rPr>
        <w:fldChar w:fldCharType="end"/>
      </w:r>
    </w:p>
    <w:p>
      <w:pPr>
        <w:pStyle w:val="17"/>
        <w:tabs>
          <w:tab w:val="right" w:leader="dot" w:pos="8300"/>
        </w:tabs>
        <w:rPr>
          <w:rFonts w:hint="eastAsia" w:ascii="楷体" w:hAnsi="楷体" w:eastAsia="楷体" w:cs="楷体"/>
          <w:highlight w:val="none"/>
          <w:lang w:val="en-US" w:eastAsia="zh-CN"/>
        </w:rPr>
      </w:pPr>
      <w:r>
        <w:rPr>
          <w:rFonts w:hint="eastAsia" w:ascii="楷体" w:hAnsi="楷体" w:eastAsia="楷体" w:cs="楷体"/>
          <w:color w:val="000000" w:themeColor="text1"/>
          <w:highlight w:val="none"/>
          <w14:textFill>
            <w14:solidFill>
              <w14:schemeClr w14:val="tx1"/>
            </w14:solidFill>
          </w14:textFill>
        </w:rPr>
        <w:t>二、项目信息及批复文件</w:t>
      </w:r>
      <w:r>
        <w:rPr>
          <w:rFonts w:hint="eastAsia" w:ascii="楷体" w:hAnsi="楷体" w:eastAsia="楷体" w:cs="楷体"/>
          <w:highlight w:val="none"/>
        </w:rPr>
        <w:tab/>
      </w:r>
      <w:r>
        <w:rPr>
          <w:rFonts w:hint="eastAsia" w:ascii="楷体" w:hAnsi="楷体" w:eastAsia="楷体" w:cs="楷体"/>
          <w:highlight w:val="none"/>
          <w:lang w:val="en-US" w:eastAsia="zh-CN"/>
        </w:rPr>
        <w:t>5</w:t>
      </w:r>
    </w:p>
    <w:p>
      <w:pPr>
        <w:pStyle w:val="17"/>
        <w:tabs>
          <w:tab w:val="right" w:leader="dot" w:pos="8300"/>
        </w:tabs>
        <w:rPr>
          <w:rFonts w:hint="eastAsia" w:ascii="楷体" w:hAnsi="楷体" w:eastAsia="楷体" w:cs="楷体"/>
          <w:highlight w:val="none"/>
          <w:lang w:val="en-US" w:eastAsia="zh-CN"/>
        </w:rPr>
      </w:pPr>
      <w:r>
        <w:rPr>
          <w:rFonts w:hint="eastAsia" w:ascii="楷体" w:hAnsi="楷体" w:eastAsia="楷体" w:cs="楷体"/>
          <w:color w:val="000000" w:themeColor="text1"/>
          <w:highlight w:val="none"/>
          <w14:textFill>
            <w14:solidFill>
              <w14:schemeClr w14:val="tx1"/>
            </w14:solidFill>
          </w14:textFill>
        </w:rPr>
        <w:t>三、项目收益与融资自求平衡情况</w:t>
      </w:r>
      <w:r>
        <w:rPr>
          <w:rFonts w:hint="eastAsia" w:ascii="楷体" w:hAnsi="楷体" w:eastAsia="楷体" w:cs="楷体"/>
          <w:highlight w:val="none"/>
        </w:rPr>
        <w:tab/>
      </w:r>
      <w:r>
        <w:rPr>
          <w:rFonts w:hint="eastAsia" w:ascii="楷体" w:hAnsi="楷体" w:eastAsia="楷体" w:cs="楷体"/>
          <w:highlight w:val="none"/>
          <w:lang w:val="en-US" w:eastAsia="zh-CN"/>
        </w:rPr>
        <w:t>9</w:t>
      </w:r>
    </w:p>
    <w:p>
      <w:pPr>
        <w:pStyle w:val="17"/>
        <w:tabs>
          <w:tab w:val="right" w:leader="dot" w:pos="8300"/>
        </w:tabs>
        <w:rPr>
          <w:rFonts w:hint="eastAsia" w:ascii="楷体" w:hAnsi="楷体" w:eastAsia="楷体" w:cs="楷体"/>
          <w:highlight w:val="none"/>
          <w:lang w:val="en-US" w:eastAsia="zh-CN"/>
        </w:rPr>
      </w:pPr>
      <w:r>
        <w:rPr>
          <w:rFonts w:hint="eastAsia" w:ascii="楷体" w:hAnsi="楷体" w:eastAsia="楷体" w:cs="楷体"/>
          <w:color w:val="000000" w:themeColor="text1"/>
          <w:highlight w:val="none"/>
          <w14:textFill>
            <w14:solidFill>
              <w14:schemeClr w14:val="tx1"/>
            </w14:solidFill>
          </w14:textFill>
        </w:rPr>
        <w:t>四、中介机构及相关文件</w:t>
      </w:r>
      <w:r>
        <w:rPr>
          <w:rFonts w:hint="eastAsia" w:ascii="楷体" w:hAnsi="楷体" w:eastAsia="楷体" w:cs="楷体"/>
          <w:highlight w:val="none"/>
        </w:rPr>
        <w:tab/>
      </w:r>
      <w:r>
        <w:rPr>
          <w:rFonts w:hint="eastAsia" w:ascii="楷体" w:hAnsi="楷体" w:eastAsia="楷体" w:cs="楷体"/>
          <w:highlight w:val="none"/>
          <w:lang w:val="en-US" w:eastAsia="zh-CN"/>
        </w:rPr>
        <w:t>9</w:t>
      </w:r>
    </w:p>
    <w:p>
      <w:pPr>
        <w:pStyle w:val="17"/>
        <w:tabs>
          <w:tab w:val="right" w:leader="dot" w:pos="8300"/>
        </w:tabs>
        <w:rPr>
          <w:rFonts w:hint="default" w:ascii="楷体" w:hAnsi="楷体" w:eastAsia="楷体" w:cs="楷体"/>
          <w:highlight w:val="none"/>
          <w:lang w:val="en-US" w:eastAsia="zh-CN"/>
        </w:rPr>
      </w:pPr>
      <w:r>
        <w:rPr>
          <w:rFonts w:hint="eastAsia" w:ascii="楷体" w:hAnsi="楷体" w:eastAsia="楷体" w:cs="楷体"/>
          <w:color w:val="000000" w:themeColor="text1"/>
          <w:highlight w:val="none"/>
          <w14:textFill>
            <w14:solidFill>
              <w14:schemeClr w14:val="tx1"/>
            </w14:solidFill>
          </w14:textFill>
        </w:rPr>
        <w:t>五、风险因素</w:t>
      </w:r>
      <w:r>
        <w:rPr>
          <w:rFonts w:hint="eastAsia" w:ascii="楷体" w:hAnsi="楷体" w:eastAsia="楷体" w:cs="楷体"/>
          <w:highlight w:val="none"/>
        </w:rPr>
        <w:tab/>
      </w:r>
      <w:r>
        <w:rPr>
          <w:rFonts w:hint="eastAsia" w:ascii="楷体" w:hAnsi="楷体" w:eastAsia="楷体" w:cs="楷体"/>
          <w:highlight w:val="none"/>
          <w:lang w:val="en-US" w:eastAsia="zh-CN"/>
        </w:rPr>
        <w:t>10</w:t>
      </w:r>
    </w:p>
    <w:p>
      <w:pPr>
        <w:pStyle w:val="17"/>
        <w:tabs>
          <w:tab w:val="right" w:leader="dot" w:pos="8300"/>
        </w:tabs>
        <w:rPr>
          <w:rFonts w:hint="default" w:ascii="楷体" w:hAnsi="楷体" w:eastAsia="楷体" w:cs="楷体"/>
          <w:highlight w:val="none"/>
          <w:lang w:val="en-US" w:eastAsia="zh-CN"/>
        </w:rPr>
      </w:pPr>
      <w:r>
        <w:rPr>
          <w:rFonts w:hint="eastAsia" w:ascii="楷体" w:hAnsi="楷体" w:eastAsia="楷体" w:cs="楷体"/>
          <w:color w:val="000000" w:themeColor="text1"/>
          <w:kern w:val="44"/>
          <w:highlight w:val="none"/>
          <w14:textFill>
            <w14:solidFill>
              <w14:schemeClr w14:val="tx1"/>
            </w14:solidFill>
          </w14:textFill>
        </w:rPr>
        <w:t>第三部分 结 论</w:t>
      </w:r>
      <w:r>
        <w:rPr>
          <w:rFonts w:hint="eastAsia" w:ascii="楷体" w:hAnsi="楷体" w:eastAsia="楷体" w:cs="楷体"/>
          <w:highlight w:val="none"/>
        </w:rPr>
        <w:tab/>
      </w:r>
      <w:r>
        <w:rPr>
          <w:rFonts w:hint="eastAsia" w:ascii="楷体" w:hAnsi="楷体" w:eastAsia="楷体" w:cs="楷体"/>
          <w:highlight w:val="none"/>
          <w:lang w:val="en-US" w:eastAsia="zh-CN"/>
        </w:rPr>
        <w:t>13</w:t>
      </w:r>
    </w:p>
    <w:p>
      <w:pPr>
        <w:pStyle w:val="17"/>
        <w:tabs>
          <w:tab w:val="right" w:leader="dot" w:pos="8290"/>
        </w:tabs>
        <w:rPr>
          <w:rFonts w:ascii="楷体" w:hAnsi="楷体" w:eastAsia="楷体"/>
          <w:color w:val="000000"/>
          <w:highlight w:val="none"/>
        </w:rPr>
        <w:sectPr>
          <w:headerReference r:id="rId3" w:type="default"/>
          <w:footerReference r:id="rId4" w:type="default"/>
          <w:footerReference r:id="rId5" w:type="even"/>
          <w:pgSz w:w="11900" w:h="16840"/>
          <w:pgMar w:top="1536" w:right="1800" w:bottom="1440" w:left="1800" w:header="655" w:footer="992" w:gutter="0"/>
          <w:pgNumType w:start="1"/>
          <w:cols w:space="720" w:num="1"/>
          <w:docGrid w:type="lines" w:linePitch="423" w:charSpace="0"/>
        </w:sectPr>
      </w:pPr>
      <w:r>
        <w:rPr>
          <w:rFonts w:hint="eastAsia" w:ascii="楷体" w:hAnsi="楷体" w:eastAsia="楷体" w:cs="楷体"/>
          <w:kern w:val="2"/>
          <w:highlight w:val="none"/>
        </w:rPr>
        <w:fldChar w:fldCharType="end"/>
      </w:r>
      <w:bookmarkStart w:id="0" w:name="_Toc3672"/>
      <w:bookmarkEnd w:id="0"/>
      <w:bookmarkStart w:id="1" w:name="_Toc5057"/>
      <w:bookmarkEnd w:id="1"/>
      <w:bookmarkStart w:id="2" w:name="_Toc20870"/>
      <w:bookmarkEnd w:id="2"/>
      <w:bookmarkStart w:id="3" w:name="_Toc450911085"/>
      <w:bookmarkEnd w:id="3"/>
    </w:p>
    <w:p>
      <w:pPr>
        <w:tabs>
          <w:tab w:val="left" w:pos="550"/>
          <w:tab w:val="center" w:pos="4150"/>
        </w:tabs>
        <w:autoSpaceDE w:val="0"/>
        <w:autoSpaceDN w:val="0"/>
        <w:adjustRightInd w:val="0"/>
        <w:spacing w:before="211" w:beforeLines="50" w:after="211" w:afterLines="50" w:line="360" w:lineRule="auto"/>
        <w:jc w:val="center"/>
        <w:rPr>
          <w:rFonts w:hint="eastAsia" w:ascii="楷体" w:hAnsi="楷体" w:eastAsia="楷体"/>
          <w:b/>
          <w:bCs/>
          <w:color w:val="000000" w:themeColor="text1"/>
          <w:sz w:val="36"/>
          <w:szCs w:val="36"/>
          <w:highlight w:val="none"/>
          <w14:textFill>
            <w14:solidFill>
              <w14:schemeClr w14:val="tx1"/>
            </w14:solidFill>
          </w14:textFill>
        </w:rPr>
      </w:pPr>
      <w:r>
        <w:rPr>
          <w:rFonts w:hint="eastAsia" w:ascii="楷体" w:hAnsi="楷体" w:eastAsia="楷体"/>
          <w:b/>
          <w:bCs/>
          <w:color w:val="000000" w:themeColor="text1"/>
          <w:sz w:val="36"/>
          <w:szCs w:val="36"/>
          <w:highlight w:val="none"/>
          <w14:textFill>
            <w14:solidFill>
              <w14:schemeClr w14:val="tx1"/>
            </w14:solidFill>
          </w14:textFill>
        </w:rPr>
        <w:t>2019年西双版纳州勐海县土地储备项目</w:t>
      </w:r>
    </w:p>
    <w:p>
      <w:pPr>
        <w:tabs>
          <w:tab w:val="left" w:pos="550"/>
          <w:tab w:val="center" w:pos="4150"/>
        </w:tabs>
        <w:autoSpaceDE w:val="0"/>
        <w:autoSpaceDN w:val="0"/>
        <w:adjustRightInd w:val="0"/>
        <w:spacing w:before="211" w:beforeLines="50" w:after="211" w:afterLines="50" w:line="360" w:lineRule="auto"/>
        <w:jc w:val="center"/>
        <w:rPr>
          <w:rFonts w:hint="eastAsia" w:ascii="楷体" w:hAnsi="楷体" w:eastAsia="楷体"/>
          <w:b/>
          <w:bCs/>
          <w:color w:val="000000" w:themeColor="text1"/>
          <w:sz w:val="36"/>
          <w:szCs w:val="36"/>
          <w:highlight w:val="none"/>
          <w14:textFill>
            <w14:solidFill>
              <w14:schemeClr w14:val="tx1"/>
            </w14:solidFill>
          </w14:textFill>
        </w:rPr>
      </w:pPr>
      <w:r>
        <w:rPr>
          <w:rFonts w:hint="eastAsia" w:ascii="楷体" w:hAnsi="楷体" w:eastAsia="楷体"/>
          <w:b/>
          <w:bCs/>
          <w:color w:val="000000" w:themeColor="text1"/>
          <w:sz w:val="36"/>
          <w:szCs w:val="36"/>
          <w:highlight w:val="none"/>
          <w14:textFill>
            <w14:solidFill>
              <w14:schemeClr w14:val="tx1"/>
            </w14:solidFill>
          </w14:textFill>
        </w:rPr>
        <w:t>专项债券（调整）</w:t>
      </w:r>
    </w:p>
    <w:p>
      <w:pPr>
        <w:tabs>
          <w:tab w:val="left" w:pos="550"/>
          <w:tab w:val="center" w:pos="4150"/>
        </w:tabs>
        <w:autoSpaceDE w:val="0"/>
        <w:autoSpaceDN w:val="0"/>
        <w:adjustRightInd w:val="0"/>
        <w:spacing w:before="211" w:beforeLines="50" w:after="211" w:afterLines="50" w:line="360" w:lineRule="auto"/>
        <w:jc w:val="center"/>
        <w:rPr>
          <w:rFonts w:ascii="楷体" w:hAnsi="楷体" w:eastAsia="楷体"/>
          <w:b/>
          <w:bCs/>
          <w:color w:val="000000" w:themeColor="text1"/>
          <w:sz w:val="36"/>
          <w:szCs w:val="36"/>
          <w:highlight w:val="none"/>
          <w14:textFill>
            <w14:solidFill>
              <w14:schemeClr w14:val="tx1"/>
            </w14:solidFill>
          </w14:textFill>
        </w:rPr>
      </w:pPr>
      <w:r>
        <w:rPr>
          <w:rFonts w:hint="eastAsia" w:ascii="楷体" w:hAnsi="楷体" w:eastAsia="楷体"/>
          <w:b/>
          <w:bCs/>
          <w:color w:val="000000" w:themeColor="text1"/>
          <w:sz w:val="36"/>
          <w:szCs w:val="36"/>
          <w:highlight w:val="none"/>
          <w14:textFill>
            <w14:solidFill>
              <w14:schemeClr w14:val="tx1"/>
            </w14:solidFill>
          </w14:textFill>
        </w:rPr>
        <w:t>法律意见书</w:t>
      </w:r>
    </w:p>
    <w:p>
      <w:pPr>
        <w:spacing w:before="211" w:beforeLines="50" w:after="211" w:afterLines="50" w:line="360" w:lineRule="auto"/>
        <w:jc w:val="both"/>
        <w:rPr>
          <w:rFonts w:hint="eastAsia" w:ascii="楷体" w:hAnsi="楷体" w:eastAsia="楷体"/>
          <w:b/>
          <w:bCs/>
          <w:color w:val="000000" w:themeColor="text1"/>
          <w:highlight w:val="none"/>
          <w14:textFill>
            <w14:solidFill>
              <w14:schemeClr w14:val="tx1"/>
            </w14:solidFill>
          </w14:textFill>
        </w:rPr>
      </w:pPr>
      <w:r>
        <w:rPr>
          <w:rFonts w:ascii="楷体" w:hAnsi="楷体" w:eastAsia="楷体"/>
          <w:b/>
          <w:bCs/>
          <w:color w:val="000000" w:themeColor="text1"/>
          <w:highlight w:val="none"/>
          <w14:textFill>
            <w14:solidFill>
              <w14:schemeClr w14:val="tx1"/>
            </w14:solidFill>
          </w14:textFill>
        </w:rPr>
        <w:t>致:</w:t>
      </w:r>
      <w:r>
        <w:rPr>
          <w:rFonts w:hint="eastAsia" w:ascii="楷体" w:hAnsi="楷体" w:eastAsia="楷体"/>
          <w:b/>
          <w:bCs/>
          <w:color w:val="000000" w:themeColor="text1"/>
          <w:sz w:val="32"/>
          <w:szCs w:val="32"/>
          <w:highlight w:val="none"/>
          <w14:textFill>
            <w14:solidFill>
              <w14:schemeClr w14:val="tx1"/>
            </w14:solidFill>
          </w14:textFill>
        </w:rPr>
        <w:t xml:space="preserve"> </w:t>
      </w:r>
      <w:r>
        <w:rPr>
          <w:rFonts w:hint="eastAsia" w:ascii="楷体" w:hAnsi="楷体" w:eastAsia="楷体"/>
          <w:b/>
          <w:bCs/>
          <w:color w:val="000000" w:themeColor="text1"/>
          <w:highlight w:val="none"/>
          <w14:textFill>
            <w14:solidFill>
              <w14:schemeClr w14:val="tx1"/>
            </w14:solidFill>
          </w14:textFill>
        </w:rPr>
        <w:t>勐海县自然资源局</w:t>
      </w: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北京市君泽君（昆明）律师事务所</w:t>
      </w:r>
      <w:r>
        <w:rPr>
          <w:rFonts w:ascii="楷体" w:hAnsi="楷体" w:eastAsia="楷体"/>
          <w:color w:val="000000" w:themeColor="text1"/>
          <w:highlight w:val="none"/>
          <w14:textFill>
            <w14:solidFill>
              <w14:schemeClr w14:val="tx1"/>
            </w14:solidFill>
          </w14:textFill>
        </w:rPr>
        <w:t>(以下简称“本所”)</w:t>
      </w:r>
      <w:r>
        <w:rPr>
          <w:rFonts w:hint="eastAsia" w:ascii="楷体" w:hAnsi="楷体" w:eastAsia="楷体"/>
          <w:color w:val="000000" w:themeColor="text1"/>
          <w:highlight w:val="none"/>
          <w14:textFill>
            <w14:solidFill>
              <w14:schemeClr w14:val="tx1"/>
            </w14:solidFill>
          </w14:textFill>
        </w:rPr>
        <w:t>依法接受委托</w:t>
      </w:r>
      <w:r>
        <w:rPr>
          <w:rFonts w:ascii="楷体" w:hAnsi="楷体" w:eastAsia="楷体"/>
          <w:color w:val="000000" w:themeColor="text1"/>
          <w:highlight w:val="none"/>
          <w14:textFill>
            <w14:solidFill>
              <w14:schemeClr w14:val="tx1"/>
            </w14:solidFill>
          </w14:textFill>
        </w:rPr>
        <w:t>，指派</w:t>
      </w:r>
      <w:r>
        <w:rPr>
          <w:rFonts w:hint="eastAsia" w:ascii="楷体" w:hAnsi="楷体" w:eastAsia="楷体"/>
          <w:color w:val="000000" w:themeColor="text1"/>
          <w:highlight w:val="none"/>
          <w14:textFill>
            <w14:solidFill>
              <w14:schemeClr w14:val="tx1"/>
            </w14:solidFill>
          </w14:textFill>
        </w:rPr>
        <w:t>普红梅律师、徐杰律师为2019年西双版纳州勐海县土地储备项目专项债券（调整）出具本法律意见书。</w:t>
      </w: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本所作为合法注册成立之律师事务所，具有从事相关法律业务的资格</w:t>
      </w:r>
      <w:r>
        <w:rPr>
          <w:rFonts w:ascii="楷体" w:hAnsi="楷体" w:eastAsia="楷体"/>
          <w:color w:val="000000" w:themeColor="text1"/>
          <w:highlight w:val="none"/>
          <w14:textFill>
            <w14:solidFill>
              <w14:schemeClr w14:val="tx1"/>
            </w14:solidFill>
          </w14:textFill>
        </w:rPr>
        <w:t>。</w:t>
      </w:r>
      <w:r>
        <w:rPr>
          <w:rFonts w:hint="eastAsia" w:ascii="楷体" w:hAnsi="楷体" w:eastAsia="楷体"/>
          <w:color w:val="000000" w:themeColor="text1"/>
          <w:highlight w:val="none"/>
          <w14:textFill>
            <w14:solidFill>
              <w14:schemeClr w14:val="tx1"/>
            </w14:solidFill>
          </w14:textFill>
        </w:rPr>
        <w:t>在本法律意见书签字之律师具有合法执业资格。</w:t>
      </w: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p>
    <w:p>
      <w:pPr>
        <w:rPr>
          <w:rFonts w:ascii="楷体" w:hAnsi="楷体" w:eastAsia="楷体" w:cstheme="majorBidi"/>
          <w:b/>
          <w:bCs/>
          <w:color w:val="000000" w:themeColor="text1"/>
          <w:sz w:val="32"/>
          <w:szCs w:val="32"/>
          <w:highlight w:val="none"/>
          <w14:textFill>
            <w14:solidFill>
              <w14:schemeClr w14:val="tx1"/>
            </w14:solidFill>
          </w14:textFill>
        </w:rPr>
      </w:pPr>
      <w:bookmarkStart w:id="4" w:name="_Toc520282138"/>
      <w:bookmarkStart w:id="5" w:name="_Toc30401"/>
    </w:p>
    <w:p>
      <w:pPr>
        <w:pStyle w:val="23"/>
        <w:jc w:val="both"/>
        <w:rPr>
          <w:rFonts w:ascii="楷体" w:hAnsi="楷体" w:eastAsia="楷体"/>
          <w:color w:val="000000" w:themeColor="text1"/>
          <w:highlight w:val="none"/>
          <w14:textFill>
            <w14:solidFill>
              <w14:schemeClr w14:val="tx1"/>
            </w14:solidFill>
          </w14:textFill>
        </w:rPr>
      </w:pPr>
    </w:p>
    <w:p>
      <w:pPr>
        <w:pStyle w:val="23"/>
        <w:rPr>
          <w:rFonts w:ascii="楷体" w:hAnsi="楷体" w:eastAsia="楷体"/>
          <w:color w:val="000000" w:themeColor="text1"/>
          <w:highlight w:val="none"/>
          <w14:textFill>
            <w14:solidFill>
              <w14:schemeClr w14:val="tx1"/>
            </w14:solidFill>
          </w14:textFill>
        </w:rPr>
      </w:pPr>
      <w:bookmarkStart w:id="6" w:name="_Toc24374"/>
      <w:r>
        <w:rPr>
          <w:rFonts w:hint="eastAsia" w:ascii="楷体" w:hAnsi="楷体" w:eastAsia="楷体"/>
          <w:color w:val="000000" w:themeColor="text1"/>
          <w:highlight w:val="none"/>
          <w14:textFill>
            <w14:solidFill>
              <w14:schemeClr w14:val="tx1"/>
            </w14:solidFill>
          </w14:textFill>
        </w:rPr>
        <w:t>声 明</w:t>
      </w:r>
      <w:bookmarkEnd w:id="4"/>
      <w:bookmarkEnd w:id="5"/>
      <w:bookmarkEnd w:id="6"/>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为本法律意见书的出具，本所律师特作如下声明：</w:t>
      </w: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1、本所律师依据《预算法》</w:t>
      </w:r>
      <w:r>
        <w:rPr>
          <w:rFonts w:ascii="楷体" w:hAnsi="楷体" w:eastAsia="楷体"/>
          <w:color w:val="000000" w:themeColor="text1"/>
          <w:highlight w:val="none"/>
          <w14:textFill>
            <w14:solidFill>
              <w14:schemeClr w14:val="tx1"/>
            </w14:solidFill>
          </w14:textFill>
        </w:rPr>
        <w:t>、《地方政府债券发行管理办法》（财库〔2020〕43号）</w:t>
      </w:r>
      <w:r>
        <w:rPr>
          <w:rFonts w:hint="eastAsia" w:ascii="楷体" w:hAnsi="楷体" w:eastAsia="楷体"/>
          <w:color w:val="000000" w:themeColor="text1"/>
          <w:highlight w:val="none"/>
          <w14:textFill>
            <w14:solidFill>
              <w14:schemeClr w14:val="tx1"/>
            </w14:solidFill>
          </w14:textFill>
        </w:rPr>
        <w:t>、《地方政府土地储备专项债券管理办法（试行）》</w:t>
      </w:r>
      <w:r>
        <w:rPr>
          <w:rFonts w:hint="eastAsia" w:ascii="楷体" w:hAnsi="楷体" w:eastAsia="楷体"/>
          <w:color w:val="000000" w:themeColor="text1"/>
          <w:highlight w:val="none"/>
          <w:lang w:eastAsia="zh-CN"/>
          <w14:textFill>
            <w14:solidFill>
              <w14:schemeClr w14:val="tx1"/>
            </w14:solidFill>
          </w14:textFill>
        </w:rPr>
        <w:t>（财预〔2017〕62号）、</w:t>
      </w:r>
      <w:r>
        <w:rPr>
          <w:rFonts w:hint="eastAsia" w:ascii="楷体" w:hAnsi="楷体" w:eastAsia="楷体" w:cs="Times New Roman"/>
          <w:color w:val="000000"/>
          <w:sz w:val="24"/>
          <w:szCs w:val="24"/>
          <w:highlight w:val="none"/>
          <w:lang w:val="en-US" w:eastAsia="zh-CN" w:bidi="ar"/>
        </w:rPr>
        <w:t>《中共中央办公厅、国务院办公厅关于做好地方政府专项债券发行及项目配套融资工作的通知》（厅字〔2019〕33号）</w:t>
      </w:r>
      <w:r>
        <w:rPr>
          <w:rFonts w:hint="eastAsia" w:ascii="楷体" w:hAnsi="楷体" w:eastAsia="楷体"/>
          <w:color w:val="000000" w:themeColor="text1"/>
          <w:highlight w:val="none"/>
          <w14:textFill>
            <w14:solidFill>
              <w14:schemeClr w14:val="tx1"/>
            </w14:solidFill>
          </w14:textFill>
        </w:rPr>
        <w:t>、《财政部关于做好地方政府债券发行工作的意见》（财库〔201</w:t>
      </w:r>
      <w:r>
        <w:rPr>
          <w:rFonts w:ascii="楷体" w:hAnsi="楷体" w:eastAsia="楷体"/>
          <w:color w:val="000000" w:themeColor="text1"/>
          <w:highlight w:val="none"/>
          <w14:textFill>
            <w14:solidFill>
              <w14:schemeClr w14:val="tx1"/>
            </w14:solidFill>
          </w14:textFill>
        </w:rPr>
        <w:t>9</w:t>
      </w:r>
      <w:r>
        <w:rPr>
          <w:rFonts w:hint="eastAsia" w:ascii="楷体" w:hAnsi="楷体" w:eastAsia="楷体"/>
          <w:color w:val="000000" w:themeColor="text1"/>
          <w:highlight w:val="none"/>
          <w14:textFill>
            <w14:solidFill>
              <w14:schemeClr w14:val="tx1"/>
            </w14:solidFill>
          </w14:textFill>
        </w:rPr>
        <w:t>〕2</w:t>
      </w:r>
      <w:r>
        <w:rPr>
          <w:rFonts w:ascii="楷体" w:hAnsi="楷体" w:eastAsia="楷体"/>
          <w:color w:val="000000" w:themeColor="text1"/>
          <w:highlight w:val="none"/>
          <w14:textFill>
            <w14:solidFill>
              <w14:schemeClr w14:val="tx1"/>
            </w14:solidFill>
          </w14:textFill>
        </w:rPr>
        <w:t>3</w:t>
      </w:r>
      <w:r>
        <w:rPr>
          <w:rFonts w:hint="eastAsia" w:ascii="楷体" w:hAnsi="楷体" w:eastAsia="楷体"/>
          <w:color w:val="000000" w:themeColor="text1"/>
          <w:highlight w:val="none"/>
          <w14:textFill>
            <w14:solidFill>
              <w14:schemeClr w14:val="tx1"/>
            </w14:solidFill>
          </w14:textFill>
        </w:rPr>
        <w:t>号）、《财政部关于做好地方政府专项债券发行工作的意见》（财库〔201</w:t>
      </w:r>
      <w:r>
        <w:rPr>
          <w:rFonts w:ascii="楷体" w:hAnsi="楷体" w:eastAsia="楷体"/>
          <w:color w:val="000000" w:themeColor="text1"/>
          <w:highlight w:val="none"/>
          <w14:textFill>
            <w14:solidFill>
              <w14:schemeClr w14:val="tx1"/>
            </w14:solidFill>
          </w14:textFill>
        </w:rPr>
        <w:t>8</w:t>
      </w:r>
      <w:r>
        <w:rPr>
          <w:rFonts w:hint="eastAsia" w:ascii="楷体" w:hAnsi="楷体" w:eastAsia="楷体"/>
          <w:color w:val="000000" w:themeColor="text1"/>
          <w:highlight w:val="none"/>
          <w14:textFill>
            <w14:solidFill>
              <w14:schemeClr w14:val="tx1"/>
            </w14:solidFill>
          </w14:textFill>
        </w:rPr>
        <w:t>〕7</w:t>
      </w:r>
      <w:r>
        <w:rPr>
          <w:rFonts w:ascii="楷体" w:hAnsi="楷体" w:eastAsia="楷体"/>
          <w:color w:val="000000" w:themeColor="text1"/>
          <w:highlight w:val="none"/>
          <w14:textFill>
            <w14:solidFill>
              <w14:schemeClr w14:val="tx1"/>
            </w14:solidFill>
          </w14:textFill>
        </w:rPr>
        <w:t>2</w:t>
      </w:r>
      <w:r>
        <w:rPr>
          <w:rFonts w:hint="eastAsia" w:ascii="楷体" w:hAnsi="楷体" w:eastAsia="楷体"/>
          <w:color w:val="000000" w:themeColor="text1"/>
          <w:highlight w:val="none"/>
          <w14:textFill>
            <w14:solidFill>
              <w14:schemeClr w14:val="tx1"/>
            </w14:solidFill>
          </w14:textFill>
        </w:rPr>
        <w:t>号）、《财政部关于试点发展项目收益与融资自求平衡的地方政府专项债券品种的通知》（财预〔201</w:t>
      </w:r>
      <w:r>
        <w:rPr>
          <w:rFonts w:ascii="楷体" w:hAnsi="楷体" w:eastAsia="楷体"/>
          <w:color w:val="000000" w:themeColor="text1"/>
          <w:highlight w:val="none"/>
          <w14:textFill>
            <w14:solidFill>
              <w14:schemeClr w14:val="tx1"/>
            </w14:solidFill>
          </w14:textFill>
        </w:rPr>
        <w:t>7</w:t>
      </w:r>
      <w:r>
        <w:rPr>
          <w:rFonts w:hint="eastAsia" w:ascii="楷体" w:hAnsi="楷体" w:eastAsia="楷体"/>
          <w:color w:val="000000" w:themeColor="text1"/>
          <w:highlight w:val="none"/>
          <w14:textFill>
            <w14:solidFill>
              <w14:schemeClr w14:val="tx1"/>
            </w14:solidFill>
          </w14:textFill>
        </w:rPr>
        <w:t>〕8</w:t>
      </w:r>
      <w:r>
        <w:rPr>
          <w:rFonts w:ascii="楷体" w:hAnsi="楷体" w:eastAsia="楷体"/>
          <w:color w:val="000000" w:themeColor="text1"/>
          <w:highlight w:val="none"/>
          <w14:textFill>
            <w14:solidFill>
              <w14:schemeClr w14:val="tx1"/>
            </w14:solidFill>
          </w14:textFill>
        </w:rPr>
        <w:t>9</w:t>
      </w:r>
      <w:r>
        <w:rPr>
          <w:rFonts w:hint="eastAsia" w:ascii="楷体" w:hAnsi="楷体" w:eastAsia="楷体"/>
          <w:color w:val="000000" w:themeColor="text1"/>
          <w:highlight w:val="none"/>
          <w14:textFill>
            <w14:solidFill>
              <w14:schemeClr w14:val="tx1"/>
            </w14:solidFill>
          </w14:textFill>
        </w:rPr>
        <w:t>号）、《国务院关于加强地方政府性债务管理的意见》（国发〔2014〕43号）等法律规定和规范性文件以及律师行业公认的业务标准、道德规范和勤勉尽责精神出具本法律意见书；</w:t>
      </w: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2、</w:t>
      </w:r>
      <w:r>
        <w:rPr>
          <w:rFonts w:ascii="楷体" w:hAnsi="楷体" w:eastAsia="楷体"/>
          <w:color w:val="000000" w:themeColor="text1"/>
          <w:highlight w:val="none"/>
          <w14:textFill>
            <w14:solidFill>
              <w14:schemeClr w14:val="tx1"/>
            </w14:solidFill>
          </w14:textFill>
        </w:rPr>
        <w:t>本所律师对截至本法律意见书出具之日已经发生或存在的事实，严格履行了法定职责，遵循了勤勉尽责和诚实信用原则，进行了充分的核查验证，保证本法律意见书所认定的事实真实、准确、完整，所发表的结论性意见合法、准确，不存在虚假记载、误导性陈述或者重大遗漏，并承担相应法律责任。</w:t>
      </w: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3、</w:t>
      </w:r>
      <w:r>
        <w:rPr>
          <w:rFonts w:ascii="楷体" w:hAnsi="楷体" w:eastAsia="楷体"/>
          <w:color w:val="000000" w:themeColor="text1"/>
          <w:highlight w:val="none"/>
          <w14:textFill>
            <w14:solidFill>
              <w14:schemeClr w14:val="tx1"/>
            </w14:solidFill>
          </w14:textFill>
        </w:rPr>
        <w:t>本法律意见书仅依据其出具日或之前已经发生或存在的事实和中国现行相关法律、法规及规范性文件的有关规定，根据本所律师对有关事实的了解及对相关法律、法规及规范性文件的理解发表法律意见。对其出具日后可能发生的法律法规的颁布、修改、废止或事实的变更，本所</w:t>
      </w:r>
      <w:r>
        <w:rPr>
          <w:rFonts w:hint="eastAsia" w:ascii="楷体" w:hAnsi="楷体" w:eastAsia="楷体"/>
          <w:color w:val="000000" w:themeColor="text1"/>
          <w:highlight w:val="none"/>
          <w14:textFill>
            <w14:solidFill>
              <w14:schemeClr w14:val="tx1"/>
            </w14:solidFill>
          </w14:textFill>
        </w:rPr>
        <w:t>律师</w:t>
      </w:r>
      <w:r>
        <w:rPr>
          <w:rFonts w:ascii="楷体" w:hAnsi="楷体" w:eastAsia="楷体"/>
          <w:color w:val="000000" w:themeColor="text1"/>
          <w:highlight w:val="none"/>
          <w14:textFill>
            <w14:solidFill>
              <w14:schemeClr w14:val="tx1"/>
            </w14:solidFill>
          </w14:textFill>
        </w:rPr>
        <w:t>并不发表任何意见。</w:t>
      </w: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4、本所律师同意将本法律意见书作为本次准备工作的法律文件，随同其他材料一起报送，并承担相应的法律责任。</w:t>
      </w:r>
    </w:p>
    <w:p>
      <w:pPr>
        <w:spacing w:before="211" w:beforeLines="50" w:after="211" w:afterLines="50" w:line="360" w:lineRule="auto"/>
        <w:ind w:firstLine="480"/>
        <w:jc w:val="both"/>
        <w:rPr>
          <w:rFonts w:ascii="楷体" w:hAnsi="楷体" w:eastAsia="楷体"/>
          <w:color w:val="000000" w:themeColor="text1"/>
          <w:highlight w:val="none"/>
          <w:u w:val="singl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5、本所律师出具本法律意见依赖于项目主管部门、项目业主及项目中介已向本所律师提供了一切应予提供的文件资料</w:t>
      </w:r>
      <w:r>
        <w:rPr>
          <w:rFonts w:hint="eastAsia" w:ascii="楷体" w:hAnsi="楷体" w:eastAsia="楷体" w:cs="Times New Roman"/>
          <w:color w:val="000000" w:themeColor="text1"/>
          <w:highlight w:val="none"/>
          <w14:textFill>
            <w14:solidFill>
              <w14:schemeClr w14:val="tx1"/>
            </w14:solidFill>
          </w14:textFill>
        </w:rPr>
        <w:t>。</w:t>
      </w:r>
      <w:r>
        <w:rPr>
          <w:rFonts w:hint="eastAsia" w:ascii="楷体" w:hAnsi="楷体" w:eastAsia="楷体" w:cs="Times New Roman"/>
          <w:color w:val="000000" w:themeColor="text1"/>
          <w:highlight w:val="none"/>
          <w:lang w:val="en-US" w:eastAsia="zh-CN"/>
          <w14:textFill>
            <w14:solidFill>
              <w14:schemeClr w14:val="tx1"/>
            </w14:solidFill>
          </w14:textFill>
        </w:rPr>
        <w:t>勐海县国土资源收购储备中心</w:t>
      </w:r>
      <w:r>
        <w:rPr>
          <w:rFonts w:hint="eastAsia" w:ascii="楷体" w:hAnsi="楷体" w:eastAsia="楷体" w:cs="Times New Roman"/>
          <w:color w:val="000000" w:themeColor="text1"/>
          <w:highlight w:val="none"/>
          <w14:textFill>
            <w14:solidFill>
              <w14:schemeClr w14:val="tx1"/>
            </w14:solidFill>
          </w14:textFill>
        </w:rPr>
        <w:t>保</w:t>
      </w:r>
      <w:r>
        <w:rPr>
          <w:rFonts w:hint="eastAsia" w:ascii="楷体" w:hAnsi="楷体" w:eastAsia="楷体"/>
          <w:color w:val="000000" w:themeColor="text1"/>
          <w:highlight w:val="none"/>
          <w14:textFill>
            <w14:solidFill>
              <w14:schemeClr w14:val="tx1"/>
            </w14:solidFill>
          </w14:textFill>
        </w:rPr>
        <w:t>证已经提供了本所律师认为出具本法律意见书所必需的、真实的原始书面材料、副本材料或其他材料。勐海县国土资源收购储备中心保证上述文件真实、准确、完整，文件上所有签字与印章真实，复印件与原件一致。对于出具法律意见书至关重要而又无独立证据支持的事实，本所律师依赖有关政府部门或其他机构出具的证明文件做判断。</w:t>
      </w: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6、</w:t>
      </w:r>
      <w:r>
        <w:rPr>
          <w:rFonts w:ascii="楷体" w:hAnsi="楷体" w:eastAsia="楷体"/>
          <w:color w:val="000000" w:themeColor="text1"/>
          <w:highlight w:val="none"/>
          <w14:textFill>
            <w14:solidFill>
              <w14:schemeClr w14:val="tx1"/>
            </w14:solidFill>
          </w14:textFill>
        </w:rPr>
        <w:t>本法律意见书仅就法律问题陈述意见，并不对有关会计、审计、资产评估等非法律专业事项发表评论。在本法律意见书中涉及会计、审计、资产评估等内容时，均严格按照有关中介机构出具的报告。本所律师就该等引述除履行法律法规规定的注意义务外，并不对这些内容的真实性和准确性做出任何明示或默示的保证，并不作任何商业判断或发表其他方面的意见。</w:t>
      </w:r>
    </w:p>
    <w:p>
      <w:pPr>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基于上述</w:t>
      </w:r>
      <w:r>
        <w:rPr>
          <w:rFonts w:ascii="楷体" w:hAnsi="楷体" w:eastAsia="楷体"/>
          <w:color w:val="000000" w:themeColor="text1"/>
          <w:highlight w:val="none"/>
          <w14:textFill>
            <w14:solidFill>
              <w14:schemeClr w14:val="tx1"/>
            </w14:solidFill>
          </w14:textFill>
        </w:rPr>
        <w:t>，</w:t>
      </w:r>
      <w:r>
        <w:rPr>
          <w:rFonts w:hint="eastAsia" w:ascii="楷体" w:hAnsi="楷体" w:eastAsia="楷体"/>
          <w:color w:val="000000" w:themeColor="text1"/>
          <w:highlight w:val="none"/>
          <w14:textFill>
            <w14:solidFill>
              <w14:schemeClr w14:val="tx1"/>
            </w14:solidFill>
          </w14:textFill>
        </w:rPr>
        <w:t>本所律师</w:t>
      </w:r>
      <w:r>
        <w:rPr>
          <w:rFonts w:ascii="楷体" w:hAnsi="楷体" w:eastAsia="楷体"/>
          <w:color w:val="000000" w:themeColor="text1"/>
          <w:highlight w:val="none"/>
          <w14:textFill>
            <w14:solidFill>
              <w14:schemeClr w14:val="tx1"/>
            </w14:solidFill>
          </w14:textFill>
        </w:rPr>
        <w:t>出具法律意见如下：</w:t>
      </w:r>
    </w:p>
    <w:p>
      <w:pPr>
        <w:pStyle w:val="23"/>
        <w:rPr>
          <w:rFonts w:ascii="楷体" w:hAnsi="楷体"/>
          <w:color w:val="000000" w:themeColor="text1"/>
          <w:highlight w:val="none"/>
          <w14:textFill>
            <w14:solidFill>
              <w14:schemeClr w14:val="tx1"/>
            </w14:solidFill>
          </w14:textFill>
        </w:rPr>
      </w:pPr>
      <w:r>
        <w:rPr>
          <w:rFonts w:ascii="楷体" w:hAnsi="楷体"/>
          <w:color w:val="000000" w:themeColor="text1"/>
          <w:highlight w:val="none"/>
          <w14:textFill>
            <w14:solidFill>
              <w14:schemeClr w14:val="tx1"/>
            </w14:solidFill>
          </w14:textFill>
        </w:rPr>
        <w:br w:type="page"/>
      </w:r>
      <w:bookmarkStart w:id="7" w:name="_Toc1279"/>
      <w:bookmarkStart w:id="8" w:name="_Toc505264376"/>
    </w:p>
    <w:p>
      <w:pPr>
        <w:pStyle w:val="23"/>
        <w:rPr>
          <w:rFonts w:ascii="楷体" w:hAnsi="楷体"/>
          <w:color w:val="000000" w:themeColor="text1"/>
          <w:highlight w:val="none"/>
          <w14:textFill>
            <w14:solidFill>
              <w14:schemeClr w14:val="tx1"/>
            </w14:solidFill>
          </w14:textFill>
        </w:rPr>
      </w:pPr>
    </w:p>
    <w:p>
      <w:pPr>
        <w:pStyle w:val="23"/>
        <w:rPr>
          <w:rFonts w:ascii="楷体" w:hAnsi="楷体" w:eastAsia="楷体"/>
          <w:color w:val="000000" w:themeColor="text1"/>
          <w:highlight w:val="none"/>
          <w14:textFill>
            <w14:solidFill>
              <w14:schemeClr w14:val="tx1"/>
            </w14:solidFill>
          </w14:textFill>
        </w:rPr>
      </w:pPr>
      <w:bookmarkStart w:id="9" w:name="_Toc6344"/>
      <w:r>
        <w:rPr>
          <w:rFonts w:ascii="楷体" w:hAnsi="楷体" w:eastAsia="楷体"/>
          <w:color w:val="000000" w:themeColor="text1"/>
          <w:highlight w:val="none"/>
          <w14:textFill>
            <w14:solidFill>
              <w14:schemeClr w14:val="tx1"/>
            </w14:solidFill>
          </w14:textFill>
        </w:rPr>
        <w:t>第一部分  释 义</w:t>
      </w:r>
      <w:bookmarkEnd w:id="7"/>
      <w:bookmarkEnd w:id="8"/>
      <w:bookmarkEnd w:id="9"/>
    </w:p>
    <w:p>
      <w:pPr>
        <w:spacing w:before="211" w:beforeLines="50" w:after="211" w:afterLines="50" w:line="360" w:lineRule="auto"/>
        <w:ind w:firstLine="420"/>
        <w:jc w:val="both"/>
        <w:rPr>
          <w:rFonts w:ascii="楷体" w:hAnsi="楷体" w:eastAsia="楷体"/>
          <w:color w:val="000000" w:themeColor="text1"/>
          <w:highlight w:val="none"/>
          <w14:textFill>
            <w14:solidFill>
              <w14:schemeClr w14:val="tx1"/>
            </w14:solidFill>
          </w14:textFill>
        </w:rPr>
      </w:pPr>
      <w:r>
        <w:rPr>
          <w:rFonts w:ascii="楷体" w:hAnsi="楷体" w:eastAsia="楷体"/>
          <w:color w:val="000000" w:themeColor="text1"/>
          <w:highlight w:val="none"/>
          <w14:textFill>
            <w14:solidFill>
              <w14:schemeClr w14:val="tx1"/>
            </w14:solidFill>
          </w14:textFill>
        </w:rPr>
        <w:t>为表述方便，在本法律意见书中，除非本法律意见书另有所指，下列左栏的术语或简称对应右栏中的含义或全称：</w:t>
      </w:r>
    </w:p>
    <w:tbl>
      <w:tblPr>
        <w:tblStyle w:val="2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5"/>
        <w:gridCol w:w="700"/>
        <w:gridCol w:w="4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14:textFill>
                  <w14:solidFill>
                    <w14:schemeClr w14:val="tx1"/>
                  </w14:solidFill>
                </w14:textFill>
              </w:rPr>
            </w:pPr>
            <w:r>
              <w:rPr>
                <w:rFonts w:hint="eastAsia" w:ascii="楷体" w:hAnsi="楷体" w:eastAsia="楷体"/>
                <w:color w:val="000000" w:themeColor="text1"/>
                <w:szCs w:val="20"/>
                <w:highlight w:val="none"/>
                <w14:textFill>
                  <w14:solidFill>
                    <w14:schemeClr w14:val="tx1"/>
                  </w14:solidFill>
                </w14:textFill>
              </w:rPr>
              <w:t>专项债券</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14:textFill>
                  <w14:solidFill>
                    <w14:schemeClr w14:val="tx1"/>
                  </w14:solidFill>
                </w14:textFill>
              </w:rPr>
            </w:pPr>
            <w:r>
              <w:rPr>
                <w:rFonts w:hint="eastAsia" w:ascii="楷体" w:hAnsi="楷体" w:eastAsia="楷体"/>
                <w:color w:val="000000" w:themeColor="text1"/>
                <w:szCs w:val="20"/>
                <w:highlight w:val="none"/>
                <w14:textFill>
                  <w14:solidFill>
                    <w14:schemeClr w14:val="tx1"/>
                  </w14:solidFill>
                </w14:textFill>
              </w:rPr>
              <w:t>指</w:t>
            </w:r>
          </w:p>
        </w:tc>
        <w:tc>
          <w:tcPr>
            <w:tcW w:w="4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14:textFill>
                  <w14:solidFill>
                    <w14:schemeClr w14:val="tx1"/>
                  </w14:solidFill>
                </w14:textFill>
              </w:rPr>
            </w:pPr>
            <w:r>
              <w:rPr>
                <w:rFonts w:hint="eastAsia" w:ascii="楷体" w:hAnsi="楷体" w:eastAsia="楷体"/>
                <w:color w:val="000000" w:themeColor="text1"/>
                <w:szCs w:val="20"/>
                <w:highlight w:val="none"/>
                <w:lang w:val="en-US"/>
                <w14:textFill>
                  <w14:solidFill>
                    <w14:schemeClr w14:val="tx1"/>
                  </w14:solidFill>
                </w14:textFill>
              </w:rPr>
              <w:t>2019年西双版纳州勐海县土地储备项目（调整）</w:t>
            </w:r>
            <w:r>
              <w:rPr>
                <w:rFonts w:hint="eastAsia" w:ascii="楷体" w:hAnsi="楷体" w:eastAsia="楷体"/>
                <w:color w:val="000000" w:themeColor="text1"/>
                <w:szCs w:val="20"/>
                <w:highlight w:val="none"/>
                <w14:textFill>
                  <w14:solidFill>
                    <w14:schemeClr w14:val="tx1"/>
                  </w14:solidFill>
                </w14:textFill>
              </w:rPr>
              <w:t>专项债券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14:textFill>
                  <w14:solidFill>
                    <w14:schemeClr w14:val="tx1"/>
                  </w14:solidFill>
                </w14:textFill>
              </w:rPr>
            </w:pPr>
            <w:r>
              <w:rPr>
                <w:rFonts w:hint="eastAsia" w:ascii="楷体" w:hAnsi="楷体" w:eastAsia="楷体"/>
                <w:color w:val="000000" w:themeColor="text1"/>
                <w:szCs w:val="20"/>
                <w:highlight w:val="none"/>
                <w14:textFill>
                  <w14:solidFill>
                    <w14:schemeClr w14:val="tx1"/>
                  </w14:solidFill>
                </w14:textFill>
              </w:rPr>
              <w:t>投资项目</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14:textFill>
                  <w14:solidFill>
                    <w14:schemeClr w14:val="tx1"/>
                  </w14:solidFill>
                </w14:textFill>
              </w:rPr>
            </w:pPr>
            <w:r>
              <w:rPr>
                <w:rFonts w:hint="eastAsia" w:ascii="楷体" w:hAnsi="楷体" w:eastAsia="楷体"/>
                <w:color w:val="000000" w:themeColor="text1"/>
                <w:szCs w:val="20"/>
                <w:highlight w:val="none"/>
                <w14:textFill>
                  <w14:solidFill>
                    <w14:schemeClr w14:val="tx1"/>
                  </w14:solidFill>
                </w14:textFill>
              </w:rPr>
              <w:t>指</w:t>
            </w:r>
          </w:p>
        </w:tc>
        <w:tc>
          <w:tcPr>
            <w:tcW w:w="4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lang w:val="en-US"/>
                <w14:textFill>
                  <w14:solidFill>
                    <w14:schemeClr w14:val="tx1"/>
                  </w14:solidFill>
                </w14:textFill>
              </w:rPr>
            </w:pPr>
            <w:r>
              <w:rPr>
                <w:rFonts w:hint="eastAsia" w:ascii="楷体" w:hAnsi="楷体" w:eastAsia="楷体"/>
                <w:color w:val="000000" w:themeColor="text1"/>
                <w:szCs w:val="20"/>
                <w:highlight w:val="none"/>
                <w:lang w:val="en-US"/>
                <w14:textFill>
                  <w14:solidFill>
                    <w14:schemeClr w14:val="tx1"/>
                  </w14:solidFill>
                </w14:textFill>
              </w:rPr>
              <w:t>2019年西双版纳州勐海县土地储备项目（调整）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14:textFill>
                  <w14:solidFill>
                    <w14:schemeClr w14:val="tx1"/>
                  </w14:solidFill>
                </w14:textFill>
              </w:rPr>
            </w:pPr>
            <w:r>
              <w:rPr>
                <w:rFonts w:hint="default" w:ascii="楷体" w:hAnsi="楷体" w:eastAsia="楷体"/>
                <w:color w:val="000000" w:themeColor="text1"/>
                <w:szCs w:val="20"/>
                <w:highlight w:val="none"/>
                <w14:textFill>
                  <w14:solidFill>
                    <w14:schemeClr w14:val="tx1"/>
                  </w14:solidFill>
                </w14:textFill>
              </w:rPr>
              <w:t>本所、</w:t>
            </w:r>
            <w:r>
              <w:rPr>
                <w:rFonts w:hint="eastAsia" w:ascii="楷体" w:hAnsi="楷体" w:eastAsia="楷体"/>
                <w:color w:val="000000" w:themeColor="text1"/>
                <w:szCs w:val="20"/>
                <w:highlight w:val="none"/>
                <w14:textFill>
                  <w14:solidFill>
                    <w14:schemeClr w14:val="tx1"/>
                  </w14:solidFill>
                </w14:textFill>
              </w:rPr>
              <w:t>君泽君</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14:textFill>
                  <w14:solidFill>
                    <w14:schemeClr w14:val="tx1"/>
                  </w14:solidFill>
                </w14:textFill>
              </w:rPr>
            </w:pPr>
            <w:r>
              <w:rPr>
                <w:rFonts w:hint="default" w:ascii="楷体" w:hAnsi="楷体" w:eastAsia="楷体"/>
                <w:color w:val="000000" w:themeColor="text1"/>
                <w:szCs w:val="20"/>
                <w:highlight w:val="none"/>
                <w14:textFill>
                  <w14:solidFill>
                    <w14:schemeClr w14:val="tx1"/>
                  </w14:solidFill>
                </w14:textFill>
              </w:rPr>
              <w:t>指</w:t>
            </w:r>
          </w:p>
        </w:tc>
        <w:tc>
          <w:tcPr>
            <w:tcW w:w="4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lang w:val="en-US"/>
                <w14:textFill>
                  <w14:solidFill>
                    <w14:schemeClr w14:val="tx1"/>
                  </w14:solidFill>
                </w14:textFill>
              </w:rPr>
            </w:pPr>
            <w:r>
              <w:rPr>
                <w:rFonts w:hint="eastAsia" w:ascii="楷体" w:hAnsi="楷体" w:eastAsia="楷体"/>
                <w:color w:val="000000" w:themeColor="text1"/>
                <w:szCs w:val="20"/>
                <w:highlight w:val="none"/>
                <w:lang w:val="en-US" w:eastAsia="zh-CN"/>
                <w14:textFill>
                  <w14:solidFill>
                    <w14:schemeClr w14:val="tx1"/>
                  </w14:solidFill>
                </w14:textFill>
              </w:rPr>
              <w:t>北京市君泽君（昆明）律师事务所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szCs w:val="20"/>
                <w:highlight w:val="none"/>
              </w:rPr>
            </w:pPr>
            <w:r>
              <w:rPr>
                <w:rFonts w:hint="eastAsia" w:ascii="楷体" w:hAnsi="楷体" w:eastAsia="楷体"/>
                <w:szCs w:val="20"/>
                <w:highlight w:val="none"/>
              </w:rPr>
              <w:t>会计师事务所</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szCs w:val="20"/>
                <w:highlight w:val="none"/>
              </w:rPr>
            </w:pPr>
            <w:r>
              <w:rPr>
                <w:rFonts w:hint="eastAsia" w:ascii="楷体" w:hAnsi="楷体" w:eastAsia="楷体"/>
                <w:szCs w:val="20"/>
                <w:highlight w:val="none"/>
              </w:rPr>
              <w:t>指</w:t>
            </w:r>
          </w:p>
        </w:tc>
        <w:tc>
          <w:tcPr>
            <w:tcW w:w="4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lang w:val="en-US"/>
                <w14:textFill>
                  <w14:solidFill>
                    <w14:schemeClr w14:val="tx1"/>
                  </w14:solidFill>
                </w14:textFill>
              </w:rPr>
            </w:pPr>
            <w:r>
              <w:rPr>
                <w:rFonts w:hint="eastAsia" w:ascii="楷体" w:hAnsi="楷体" w:eastAsia="楷体"/>
                <w:color w:val="000000" w:themeColor="text1"/>
                <w:szCs w:val="20"/>
                <w:highlight w:val="none"/>
                <w:lang w:val="en-US" w:eastAsia="zh-CN"/>
                <w14:textFill>
                  <w14:solidFill>
                    <w14:schemeClr w14:val="tx1"/>
                  </w14:solidFill>
                </w14:textFill>
              </w:rPr>
              <w:t>云南信立会计师事务所有限公司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szCs w:val="20"/>
                <w:highlight w:val="none"/>
              </w:rPr>
            </w:pPr>
            <w:r>
              <w:rPr>
                <w:rFonts w:hint="eastAsia" w:ascii="楷体" w:hAnsi="楷体" w:eastAsia="楷体"/>
                <w:szCs w:val="20"/>
                <w:highlight w:val="none"/>
              </w:rPr>
              <w:t>《财务评价报告》</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szCs w:val="20"/>
                <w:highlight w:val="none"/>
              </w:rPr>
            </w:pPr>
            <w:r>
              <w:rPr>
                <w:rFonts w:hint="eastAsia" w:ascii="楷体" w:hAnsi="楷体" w:eastAsia="楷体"/>
                <w:szCs w:val="20"/>
                <w:highlight w:val="none"/>
              </w:rPr>
              <w:t>指</w:t>
            </w:r>
          </w:p>
        </w:tc>
        <w:tc>
          <w:tcPr>
            <w:tcW w:w="4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lang w:val="en-US"/>
                <w14:textFill>
                  <w14:solidFill>
                    <w14:schemeClr w14:val="tx1"/>
                  </w14:solidFill>
                </w14:textFill>
              </w:rPr>
            </w:pPr>
            <w:r>
              <w:rPr>
                <w:rFonts w:hint="eastAsia" w:ascii="楷体" w:hAnsi="楷体" w:eastAsia="楷体"/>
                <w:color w:val="000000" w:themeColor="text1"/>
                <w:szCs w:val="20"/>
                <w:highlight w:val="none"/>
                <w:lang w:val="en-US" w:eastAsia="zh-CN"/>
                <w14:textFill>
                  <w14:solidFill>
                    <w14:schemeClr w14:val="tx1"/>
                  </w14:solidFill>
                </w14:textFill>
              </w:rPr>
              <w:t>《</w:t>
            </w:r>
            <w:r>
              <w:rPr>
                <w:rFonts w:hint="eastAsia" w:ascii="楷体" w:hAnsi="楷体" w:eastAsia="楷体"/>
                <w:color w:val="000000" w:themeColor="text1"/>
                <w:szCs w:val="20"/>
                <w:highlight w:val="none"/>
                <w:lang w:val="en-US"/>
                <w14:textFill>
                  <w14:solidFill>
                    <w14:schemeClr w14:val="tx1"/>
                  </w14:solidFill>
                </w14:textFill>
              </w:rPr>
              <w:t>2019年西双版纳州勐海县土地储备项目（调整）</w:t>
            </w:r>
            <w:r>
              <w:rPr>
                <w:rFonts w:hint="eastAsia" w:ascii="楷体" w:hAnsi="楷体" w:eastAsia="楷体"/>
                <w:color w:val="000000" w:themeColor="text1"/>
                <w:szCs w:val="20"/>
                <w:highlight w:val="none"/>
                <w:lang w:val="en-US" w:eastAsia="zh-CN"/>
                <w14:textFill>
                  <w14:solidFill>
                    <w14:schemeClr w14:val="tx1"/>
                  </w14:solidFill>
                </w14:textFill>
              </w:rPr>
              <w:t>专项债券</w:t>
            </w:r>
            <w:r>
              <w:rPr>
                <w:rFonts w:hint="eastAsia" w:ascii="楷体" w:hAnsi="楷体" w:eastAsia="楷体"/>
                <w:color w:val="000000" w:themeColor="text1"/>
                <w:szCs w:val="20"/>
                <w:highlight w:val="none"/>
                <w:lang w:val="en-US"/>
                <w14:textFill>
                  <w14:solidFill>
                    <w14:schemeClr w14:val="tx1"/>
                  </w14:solidFill>
                </w14:textFill>
              </w:rPr>
              <w:t>财务评价报告</w:t>
            </w:r>
            <w:r>
              <w:rPr>
                <w:rFonts w:hint="eastAsia" w:ascii="楷体" w:hAnsi="楷体" w:eastAsia="楷体"/>
                <w:color w:val="000000" w:themeColor="text1"/>
                <w:szCs w:val="20"/>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s="方正小标宋简体"/>
                <w:color w:val="000000" w:themeColor="text1"/>
                <w:highlight w:val="none"/>
                <w14:textFill>
                  <w14:solidFill>
                    <w14:schemeClr w14:val="tx1"/>
                  </w14:solidFill>
                </w14:textFill>
              </w:rPr>
            </w:pPr>
            <w:r>
              <w:rPr>
                <w:rFonts w:hint="eastAsia" w:ascii="楷体" w:hAnsi="楷体" w:eastAsia="楷体" w:cs="方正小标宋简体"/>
                <w:color w:val="000000" w:themeColor="text1"/>
                <w:highlight w:val="none"/>
                <w14:textFill>
                  <w14:solidFill>
                    <w14:schemeClr w14:val="tx1"/>
                  </w14:solidFill>
                </w14:textFill>
              </w:rPr>
              <w:t>《实施方案》</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s="方正小标宋简体"/>
                <w:color w:val="000000" w:themeColor="text1"/>
                <w:highlight w:val="none"/>
                <w14:textFill>
                  <w14:solidFill>
                    <w14:schemeClr w14:val="tx1"/>
                  </w14:solidFill>
                </w14:textFill>
              </w:rPr>
            </w:pPr>
            <w:r>
              <w:rPr>
                <w:rFonts w:hint="eastAsia" w:ascii="楷体" w:hAnsi="楷体" w:eastAsia="楷体" w:cs="方正小标宋简体"/>
                <w:color w:val="000000" w:themeColor="text1"/>
                <w:highlight w:val="none"/>
                <w14:textFill>
                  <w14:solidFill>
                    <w14:schemeClr w14:val="tx1"/>
                  </w14:solidFill>
                </w14:textFill>
              </w:rPr>
              <w:t>指</w:t>
            </w:r>
          </w:p>
        </w:tc>
        <w:tc>
          <w:tcPr>
            <w:tcW w:w="4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50" w:beforeAutospacing="0" w:after="50" w:afterAutospacing="0" w:line="360" w:lineRule="auto"/>
              <w:ind w:left="0" w:right="0"/>
              <w:jc w:val="center"/>
              <w:rPr>
                <w:rFonts w:hint="default" w:ascii="楷体" w:hAnsi="楷体" w:eastAsia="楷体"/>
                <w:color w:val="000000" w:themeColor="text1"/>
                <w:szCs w:val="20"/>
                <w:highlight w:val="none"/>
                <w:lang w:val="en-US"/>
                <w14:textFill>
                  <w14:solidFill>
                    <w14:schemeClr w14:val="tx1"/>
                  </w14:solidFill>
                </w14:textFill>
              </w:rPr>
            </w:pPr>
            <w:r>
              <w:rPr>
                <w:rFonts w:hint="eastAsia" w:ascii="楷体" w:hAnsi="楷体" w:eastAsia="楷体"/>
                <w:color w:val="000000" w:themeColor="text1"/>
                <w:szCs w:val="20"/>
                <w:highlight w:val="none"/>
                <w:lang w:val="en-US" w:eastAsia="zh-CN"/>
                <w14:textFill>
                  <w14:solidFill>
                    <w14:schemeClr w14:val="tx1"/>
                  </w14:solidFill>
                </w14:textFill>
              </w:rPr>
              <w:t>《2019年西双版纳州勐海县土地储备项目（调整）专项债券实施方案》</w:t>
            </w:r>
          </w:p>
        </w:tc>
      </w:tr>
    </w:tbl>
    <w:p>
      <w:pPr>
        <w:pStyle w:val="23"/>
        <w:rPr>
          <w:rFonts w:ascii="楷体" w:hAnsi="楷体"/>
          <w:color w:val="000000" w:themeColor="text1"/>
          <w:highlight w:val="none"/>
          <w14:textFill>
            <w14:solidFill>
              <w14:schemeClr w14:val="tx1"/>
            </w14:solidFill>
          </w14:textFill>
        </w:rPr>
      </w:pPr>
      <w:r>
        <w:rPr>
          <w:rFonts w:ascii="楷体" w:hAnsi="楷体"/>
          <w:color w:val="000000" w:themeColor="text1"/>
          <w:highlight w:val="none"/>
          <w14:textFill>
            <w14:solidFill>
              <w14:schemeClr w14:val="tx1"/>
            </w14:solidFill>
          </w14:textFill>
        </w:rPr>
        <w:br w:type="page"/>
      </w:r>
      <w:bookmarkStart w:id="10" w:name="_Toc505264377"/>
      <w:bookmarkStart w:id="11" w:name="_Toc25552"/>
    </w:p>
    <w:p>
      <w:pPr>
        <w:pStyle w:val="23"/>
        <w:rPr>
          <w:rFonts w:ascii="楷体" w:hAnsi="楷体"/>
          <w:color w:val="000000" w:themeColor="text1"/>
          <w:highlight w:val="none"/>
          <w14:textFill>
            <w14:solidFill>
              <w14:schemeClr w14:val="tx1"/>
            </w14:solidFill>
          </w14:textFill>
        </w:rPr>
      </w:pPr>
    </w:p>
    <w:p>
      <w:pPr>
        <w:pStyle w:val="23"/>
        <w:rPr>
          <w:rFonts w:ascii="楷体" w:hAnsi="楷体" w:eastAsia="楷体"/>
          <w:color w:val="000000" w:themeColor="text1"/>
          <w:highlight w:val="none"/>
          <w14:textFill>
            <w14:solidFill>
              <w14:schemeClr w14:val="tx1"/>
            </w14:solidFill>
          </w14:textFill>
        </w:rPr>
      </w:pPr>
      <w:bookmarkStart w:id="12" w:name="_Toc4726"/>
      <w:r>
        <w:rPr>
          <w:rFonts w:ascii="楷体" w:hAnsi="楷体" w:eastAsia="楷体"/>
          <w:color w:val="000000" w:themeColor="text1"/>
          <w:highlight w:val="none"/>
          <w14:textFill>
            <w14:solidFill>
              <w14:schemeClr w14:val="tx1"/>
            </w14:solidFill>
          </w14:textFill>
        </w:rPr>
        <w:t>第二部分  正 文</w:t>
      </w:r>
      <w:bookmarkEnd w:id="10"/>
      <w:bookmarkEnd w:id="11"/>
      <w:bookmarkEnd w:id="12"/>
    </w:p>
    <w:p>
      <w:pPr>
        <w:pStyle w:val="3"/>
        <w:spacing w:before="211" w:after="211"/>
        <w:jc w:val="lef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bookmarkStart w:id="13" w:name="_Toc5808"/>
      <w:bookmarkStart w:id="14" w:name="_Toc6255"/>
      <w:r>
        <w:rPr>
          <w:rFonts w:hint="eastAsia"/>
          <w:color w:val="000000" w:themeColor="text1"/>
          <w:sz w:val="24"/>
          <w:szCs w:val="24"/>
          <w:highlight w:val="none"/>
          <w14:textFill>
            <w14:solidFill>
              <w14:schemeClr w14:val="tx1"/>
            </w14:solidFill>
          </w14:textFill>
        </w:rPr>
        <w:t>一、项目实施主体</w:t>
      </w:r>
      <w:bookmarkEnd w:id="13"/>
      <w:bookmarkEnd w:id="14"/>
    </w:p>
    <w:p>
      <w:pPr>
        <w:pStyle w:val="43"/>
        <w:autoSpaceDE w:val="0"/>
        <w:autoSpaceDN w:val="0"/>
        <w:adjustRightInd w:val="0"/>
        <w:spacing w:before="211" w:beforeLines="50" w:after="211" w:afterLines="50" w:line="360" w:lineRule="auto"/>
        <w:ind w:firstLine="480"/>
        <w:jc w:val="both"/>
        <w:rPr>
          <w:rFonts w:hint="eastAsia" w:ascii="楷体" w:hAnsi="楷体" w:eastAsia="楷体" w:cs="Times New Roman"/>
          <w:bCs/>
          <w:color w:val="000000" w:themeColor="text1"/>
          <w:kern w:val="44"/>
          <w:highlight w:val="none"/>
          <w:lang w:val="en-US" w:eastAsia="zh-CN"/>
          <w14:textFill>
            <w14:solidFill>
              <w14:schemeClr w14:val="tx1"/>
            </w14:solidFill>
          </w14:textFill>
        </w:rPr>
      </w:pPr>
      <w:r>
        <w:rPr>
          <w:rFonts w:hint="eastAsia" w:ascii="楷体" w:hAnsi="楷体" w:eastAsia="楷体"/>
          <w:bCs/>
          <w:color w:val="000000" w:themeColor="text1"/>
          <w:kern w:val="44"/>
          <w:highlight w:val="none"/>
          <w14:textFill>
            <w14:solidFill>
              <w14:schemeClr w14:val="tx1"/>
            </w14:solidFill>
          </w14:textFill>
        </w:rPr>
        <w:t>根据《实施方案》，</w:t>
      </w:r>
      <w:r>
        <w:rPr>
          <w:rFonts w:hint="eastAsia" w:ascii="楷体" w:hAnsi="楷体" w:eastAsia="楷体"/>
          <w:bCs/>
          <w:color w:val="000000" w:themeColor="text1"/>
          <w:szCs w:val="20"/>
          <w:highlight w:val="none"/>
          <w14:textFill>
            <w14:solidFill>
              <w14:schemeClr w14:val="tx1"/>
            </w14:solidFill>
          </w14:textFill>
        </w:rPr>
        <w:t>本项目</w:t>
      </w:r>
      <w:r>
        <w:rPr>
          <w:rFonts w:hint="eastAsia" w:ascii="楷体" w:hAnsi="楷体" w:eastAsia="楷体"/>
          <w:bCs/>
          <w:color w:val="000000" w:themeColor="text1"/>
          <w:kern w:val="44"/>
          <w:highlight w:val="none"/>
          <w14:textFill>
            <w14:solidFill>
              <w14:schemeClr w14:val="tx1"/>
            </w14:solidFill>
          </w14:textFill>
        </w:rPr>
        <w:t>的主管部门为</w:t>
      </w:r>
      <w:r>
        <w:rPr>
          <w:rFonts w:hint="eastAsia" w:ascii="楷体" w:hAnsi="楷体" w:eastAsia="楷体"/>
          <w:bCs/>
          <w:color w:val="000000" w:themeColor="text1"/>
          <w:szCs w:val="20"/>
          <w:highlight w:val="none"/>
          <w:lang w:val="en-US"/>
          <w14:textFill>
            <w14:solidFill>
              <w14:schemeClr w14:val="tx1"/>
            </w14:solidFill>
          </w14:textFill>
        </w:rPr>
        <w:t>勐海县自然资源局</w:t>
      </w:r>
      <w:r>
        <w:rPr>
          <w:rFonts w:hint="eastAsia" w:ascii="楷体" w:hAnsi="楷体" w:eastAsia="楷体"/>
          <w:bCs/>
          <w:color w:val="000000" w:themeColor="text1"/>
          <w:szCs w:val="20"/>
          <w:highlight w:val="none"/>
          <w:lang w:val="en-US" w:eastAsia="zh-CN"/>
          <w14:textFill>
            <w14:solidFill>
              <w14:schemeClr w14:val="tx1"/>
            </w14:solidFill>
          </w14:textFill>
        </w:rPr>
        <w:t>，</w:t>
      </w:r>
      <w:r>
        <w:rPr>
          <w:rFonts w:hint="eastAsia" w:ascii="楷体" w:hAnsi="楷体" w:eastAsia="楷体" w:cs="Times New Roman"/>
          <w:bCs/>
          <w:color w:val="000000" w:themeColor="text1"/>
          <w:kern w:val="44"/>
          <w:highlight w:val="none"/>
          <w:lang w:val="en-US" w:eastAsia="zh-CN"/>
          <w14:textFill>
            <w14:solidFill>
              <w14:schemeClr w14:val="tx1"/>
            </w14:solidFill>
          </w14:textFill>
        </w:rPr>
        <w:t>项目单位为勐海县国土资源收购储备中心。</w:t>
      </w:r>
    </w:p>
    <w:p>
      <w:pPr>
        <w:pStyle w:val="43"/>
        <w:widowControl w:val="0"/>
        <w:adjustRightInd w:val="0"/>
        <w:spacing w:before="211" w:after="211" w:line="360" w:lineRule="auto"/>
        <w:ind w:firstLine="480"/>
        <w:jc w:val="both"/>
        <w:rPr>
          <w:rFonts w:ascii="楷体" w:hAnsi="楷体" w:eastAsia="楷体"/>
          <w:bCs/>
          <w:color w:val="000000" w:themeColor="text1"/>
          <w:szCs w:val="20"/>
          <w14:textFill>
            <w14:solidFill>
              <w14:schemeClr w14:val="tx1"/>
            </w14:solidFill>
          </w14:textFill>
        </w:rPr>
      </w:pPr>
      <w:r>
        <w:rPr>
          <w:rFonts w:hint="eastAsia" w:ascii="楷体" w:hAnsi="楷体" w:eastAsia="楷体"/>
          <w:color w:val="000000"/>
        </w:rPr>
        <w:t>依据《事业单位法人证书》等材料</w:t>
      </w:r>
      <w:r>
        <w:rPr>
          <w:rFonts w:ascii="楷体" w:hAnsi="楷体" w:eastAsia="楷体"/>
          <w:color w:val="000000"/>
        </w:rPr>
        <w:t>,</w:t>
      </w:r>
      <w:r>
        <w:rPr>
          <w:rFonts w:hint="eastAsia" w:ascii="楷体" w:hAnsi="楷体" w:eastAsia="楷体"/>
          <w:color w:val="000000"/>
        </w:rPr>
        <w:t>勐海县国土资源收购储备中心的基本信息情况如下：</w:t>
      </w:r>
    </w:p>
    <w:tbl>
      <w:tblPr>
        <w:tblStyle w:val="26"/>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color w:val="000000"/>
              </w:rPr>
            </w:pPr>
            <w:r>
              <w:rPr>
                <w:rFonts w:hint="eastAsia" w:eastAsia="楷体"/>
                <w:bCs/>
                <w:color w:val="000000"/>
              </w:rPr>
              <w:t>名称</w:t>
            </w:r>
          </w:p>
        </w:tc>
        <w:tc>
          <w:tcPr>
            <w:tcW w:w="6529"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color w:val="000000"/>
              </w:rPr>
            </w:pPr>
            <w:r>
              <w:rPr>
                <w:rFonts w:hint="eastAsia" w:ascii="楷体" w:hAnsi="楷体" w:eastAsia="楷体" w:cs="楷体"/>
                <w:kern w:val="2"/>
              </w:rPr>
              <w:t>勐海县国土资源收购储备中心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trPr>
        <w:tc>
          <w:tcPr>
            <w:tcW w:w="1761"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bCs/>
                <w:color w:val="000000"/>
              </w:rPr>
            </w:pPr>
            <w:r>
              <w:rPr>
                <w:rFonts w:hint="eastAsia" w:eastAsia="楷体"/>
                <w:bCs/>
                <w:color w:val="000000"/>
              </w:rPr>
              <w:t>统一社会</w:t>
            </w:r>
          </w:p>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color w:val="000000"/>
              </w:rPr>
            </w:pPr>
            <w:r>
              <w:rPr>
                <w:rFonts w:hint="eastAsia" w:eastAsia="楷体"/>
                <w:bCs/>
                <w:color w:val="000000"/>
              </w:rPr>
              <w:t>信用代码</w:t>
            </w:r>
          </w:p>
        </w:tc>
        <w:tc>
          <w:tcPr>
            <w:tcW w:w="6529"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480" w:firstLineChars="0"/>
              <w:jc w:val="center"/>
              <w:rPr>
                <w:rFonts w:hint="default" w:eastAsia="楷体"/>
                <w:color w:val="000000"/>
              </w:rPr>
            </w:pPr>
            <w:r>
              <w:rPr>
                <w:rFonts w:hint="eastAsia" w:ascii="楷体" w:hAnsi="楷体" w:eastAsia="楷体" w:cs="楷体"/>
                <w:color w:val="333333"/>
                <w:shd w:val="clear" w:color="auto" w:fill="FFFFFF"/>
              </w:rPr>
              <w:t>125328226655283361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color w:val="000000"/>
              </w:rPr>
            </w:pPr>
            <w:r>
              <w:rPr>
                <w:rFonts w:hint="eastAsia" w:eastAsia="楷体"/>
                <w:color w:val="000000"/>
              </w:rPr>
              <w:t>住所</w:t>
            </w:r>
          </w:p>
        </w:tc>
        <w:tc>
          <w:tcPr>
            <w:tcW w:w="6529"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480" w:firstLineChars="0"/>
              <w:jc w:val="center"/>
              <w:rPr>
                <w:rFonts w:hint="default" w:eastAsia="楷体"/>
                <w:color w:val="000000"/>
              </w:rPr>
            </w:pPr>
            <w:r>
              <w:rPr>
                <w:rFonts w:hint="eastAsia" w:ascii="楷体" w:hAnsi="楷体" w:eastAsia="楷体" w:cs="楷体"/>
                <w:color w:val="333333"/>
                <w:shd w:val="clear" w:color="auto" w:fill="FFFFFF"/>
              </w:rPr>
              <w:t>云南省勐海县茶乡路4号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color w:val="000000"/>
              </w:rPr>
            </w:pPr>
            <w:r>
              <w:rPr>
                <w:rFonts w:hint="eastAsia" w:eastAsia="楷体"/>
                <w:bCs/>
                <w:color w:val="000000"/>
              </w:rPr>
              <w:t>法定代表人</w:t>
            </w:r>
          </w:p>
        </w:tc>
        <w:tc>
          <w:tcPr>
            <w:tcW w:w="6529"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480" w:firstLineChars="0"/>
              <w:jc w:val="center"/>
              <w:rPr>
                <w:rFonts w:hint="default" w:eastAsia="楷体"/>
                <w:color w:val="000000"/>
              </w:rPr>
            </w:pPr>
            <w:r>
              <w:rPr>
                <w:rFonts w:hint="eastAsia" w:ascii="楷体" w:hAnsi="楷体" w:eastAsia="楷体" w:cs="楷体"/>
                <w:color w:val="333333"/>
                <w:shd w:val="clear" w:color="auto" w:fill="FFFFFF"/>
              </w:rPr>
              <w:t>高俊宇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bCs/>
                <w:color w:val="000000"/>
              </w:rPr>
            </w:pPr>
            <w:r>
              <w:rPr>
                <w:rFonts w:hint="eastAsia" w:eastAsia="楷体"/>
                <w:bCs/>
                <w:color w:val="000000"/>
              </w:rPr>
              <w:t>开办资金</w:t>
            </w:r>
          </w:p>
        </w:tc>
        <w:tc>
          <w:tcPr>
            <w:tcW w:w="6529"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480" w:firstLineChars="0"/>
              <w:jc w:val="center"/>
              <w:rPr>
                <w:rFonts w:hint="default" w:eastAsia="楷体"/>
                <w:bCs/>
                <w:color w:val="000000"/>
              </w:rPr>
            </w:pPr>
            <w:r>
              <w:rPr>
                <w:rFonts w:hint="eastAsia" w:ascii="楷体" w:hAnsi="楷体" w:eastAsia="楷体" w:cs="楷体"/>
                <w:color w:val="333333"/>
                <w:shd w:val="clear" w:color="auto" w:fill="FFFFFF"/>
              </w:rPr>
              <w:t>10万</w:t>
            </w:r>
            <w:r>
              <w:rPr>
                <w:rFonts w:hint="eastAsia" w:ascii="楷体" w:hAnsi="楷体" w:eastAsia="楷体" w:cs="楷体"/>
                <w:bCs/>
                <w:color w:val="00000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bCs/>
                <w:color w:val="000000"/>
              </w:rPr>
            </w:pPr>
            <w:r>
              <w:rPr>
                <w:rFonts w:hint="eastAsia" w:eastAsia="楷体"/>
                <w:bCs/>
                <w:color w:val="000000"/>
              </w:rPr>
              <w:t>经费来源</w:t>
            </w:r>
          </w:p>
        </w:tc>
        <w:tc>
          <w:tcPr>
            <w:tcW w:w="6529"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480" w:firstLineChars="0"/>
              <w:jc w:val="center"/>
              <w:rPr>
                <w:rFonts w:hint="default" w:eastAsia="楷体"/>
                <w:bCs/>
                <w:color w:val="000000"/>
              </w:rPr>
            </w:pPr>
            <w:r>
              <w:rPr>
                <w:rFonts w:hint="eastAsia" w:ascii="楷体" w:hAnsi="楷体" w:eastAsia="楷体" w:cs="楷体"/>
                <w:color w:val="333333"/>
                <w:shd w:val="clear" w:color="auto" w:fill="FFFFFF"/>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bCs/>
                <w:color w:val="000000"/>
              </w:rPr>
            </w:pPr>
            <w:r>
              <w:rPr>
                <w:rFonts w:hint="eastAsia" w:eastAsia="楷体"/>
                <w:bCs/>
                <w:color w:val="000000"/>
              </w:rPr>
              <w:t>有效期</w:t>
            </w:r>
          </w:p>
        </w:tc>
        <w:tc>
          <w:tcPr>
            <w:tcW w:w="6529"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480" w:firstLineChars="0"/>
              <w:jc w:val="center"/>
              <w:rPr>
                <w:rFonts w:hint="default" w:eastAsia="楷体"/>
                <w:bCs/>
                <w:color w:val="000000"/>
              </w:rPr>
            </w:pPr>
            <w:r>
              <w:rPr>
                <w:rFonts w:hint="eastAsia" w:ascii="楷体" w:hAnsi="楷体" w:eastAsia="楷体" w:cs="楷体"/>
                <w:color w:val="333333"/>
                <w:shd w:val="clear" w:color="auto" w:fill="FFFFFF"/>
              </w:rPr>
              <w:t>自 2017年10月23日 至 2022年10月23日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bCs/>
                <w:color w:val="000000"/>
              </w:rPr>
            </w:pPr>
            <w:r>
              <w:rPr>
                <w:rFonts w:hint="eastAsia" w:eastAsia="楷体"/>
                <w:bCs/>
                <w:color w:val="000000"/>
              </w:rPr>
              <w:t>经营范围</w:t>
            </w:r>
          </w:p>
        </w:tc>
        <w:tc>
          <w:tcPr>
            <w:tcW w:w="6529"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480"/>
              <w:rPr>
                <w:rFonts w:hint="default" w:eastAsia="楷体"/>
                <w:bCs/>
                <w:color w:val="000000"/>
              </w:rPr>
            </w:pPr>
            <w:r>
              <w:rPr>
                <w:rFonts w:hint="eastAsia" w:ascii="楷体" w:hAnsi="楷体" w:eastAsia="楷体" w:cs="楷体"/>
                <w:color w:val="333333"/>
                <w:shd w:val="clear" w:color="auto" w:fill="FFFFFF"/>
              </w:rPr>
              <w:t>为保护国土资源与合理利用土地提供土地收购储备保障。 负责土地的收购和储备、土地勘测、土地规划、土地资源监测与保护、对收购、储备和预征的土地进行前期整理、负责招标、拍卖和挂牌出让前的前期工作（相关社会服务）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bCs/>
                <w:color w:val="000000"/>
              </w:rPr>
            </w:pPr>
            <w:r>
              <w:rPr>
                <w:rFonts w:hint="eastAsia" w:eastAsia="楷体"/>
                <w:bCs/>
                <w:color w:val="000000"/>
              </w:rPr>
              <w:t>举办单位</w:t>
            </w:r>
          </w:p>
        </w:tc>
        <w:tc>
          <w:tcPr>
            <w:tcW w:w="6529" w:type="dxa"/>
            <w:vAlign w:val="center"/>
          </w:tcPr>
          <w:p>
            <w:pPr>
              <w:pStyle w:val="43"/>
              <w:keepNext w:val="0"/>
              <w:keepLines w:val="0"/>
              <w:widowControl/>
              <w:suppressLineNumbers w:val="0"/>
              <w:autoSpaceDE w:val="0"/>
              <w:autoSpaceDN w:val="0"/>
              <w:adjustRightInd w:val="0"/>
              <w:spacing w:before="211" w:beforeLines="50" w:beforeAutospacing="0" w:after="211" w:afterLines="50" w:afterAutospacing="0" w:line="360" w:lineRule="auto"/>
              <w:ind w:left="0" w:right="0" w:firstLine="0" w:firstLineChars="0"/>
              <w:jc w:val="center"/>
              <w:rPr>
                <w:rFonts w:hint="default" w:eastAsia="楷体"/>
                <w:bCs/>
                <w:color w:val="000000"/>
              </w:rPr>
            </w:pPr>
            <w:r>
              <w:rPr>
                <w:rFonts w:hint="eastAsia" w:ascii="Sylfaen" w:hAnsi="Sylfaen" w:eastAsia="楷体" w:cs="Sylfaen"/>
                <w:color w:val="000000"/>
              </w:rPr>
              <w:t>勐海县</w:t>
            </w:r>
            <w:r>
              <w:rPr>
                <w:rFonts w:hint="eastAsia" w:eastAsia="楷体"/>
                <w:color w:val="000000"/>
              </w:rPr>
              <w:t>事业单位登记管理局</w:t>
            </w:r>
          </w:p>
        </w:tc>
      </w:tr>
    </w:tbl>
    <w:p>
      <w:pPr>
        <w:pStyle w:val="43"/>
        <w:autoSpaceDE w:val="0"/>
        <w:autoSpaceDN w:val="0"/>
        <w:adjustRightInd w:val="0"/>
        <w:spacing w:before="211" w:beforeLines="50" w:after="211" w:afterLines="50" w:line="360" w:lineRule="auto"/>
        <w:ind w:firstLine="480" w:firstLineChars="0"/>
        <w:jc w:val="both"/>
        <w:rPr>
          <w:rFonts w:ascii="楷体" w:hAnsi="楷体" w:eastAsia="楷体"/>
          <w:bCs/>
          <w:color w:val="000000" w:themeColor="text1"/>
          <w:szCs w:val="20"/>
          <w14:textFill>
            <w14:solidFill>
              <w14:schemeClr w14:val="tx1"/>
            </w14:solidFill>
          </w14:textFill>
        </w:rPr>
      </w:pPr>
      <w:r>
        <w:rPr>
          <w:rFonts w:hint="eastAsia" w:eastAsia="楷体"/>
          <w:color w:val="000000"/>
        </w:rPr>
        <w:t>（二）依据自然资源部办公厅关于印发《土地储备机构名录（2020年版）》的通知（自然资办函〔2020〕827号），勐</w:t>
      </w:r>
      <w:r>
        <w:rPr>
          <w:rFonts w:hint="eastAsia" w:ascii="楷体" w:hAnsi="楷体" w:eastAsia="楷体"/>
          <w:color w:val="000000"/>
        </w:rPr>
        <w:t>海县国土资源收购储备中心</w:t>
      </w:r>
      <w:r>
        <w:rPr>
          <w:rFonts w:hint="eastAsia" w:eastAsia="楷体"/>
          <w:color w:val="000000"/>
        </w:rPr>
        <w:t>已被纳入《土地储备机构名录（20</w:t>
      </w:r>
      <w:r>
        <w:rPr>
          <w:rFonts w:hint="eastAsia" w:eastAsia="楷体"/>
          <w:color w:val="000000"/>
          <w:lang w:val="en-US" w:eastAsia="zh-CN"/>
        </w:rPr>
        <w:t>20</w:t>
      </w:r>
      <w:r>
        <w:rPr>
          <w:rFonts w:hint="eastAsia" w:eastAsia="楷体"/>
          <w:color w:val="000000"/>
        </w:rPr>
        <w:t>年版）》，名录代码为：TC532822</w:t>
      </w:r>
      <w:r>
        <w:rPr>
          <w:rFonts w:hint="eastAsia" w:eastAsia="楷体"/>
          <w:color w:val="000000"/>
          <w:lang w:eastAsia="zh-CN"/>
        </w:rPr>
        <w:t>，</w:t>
      </w:r>
      <w:r>
        <w:rPr>
          <w:rFonts w:hint="eastAsia" w:eastAsia="楷体"/>
          <w:color w:val="000000"/>
          <w:lang w:val="en-US" w:eastAsia="zh-CN"/>
        </w:rPr>
        <w:t>行政隶属勐海县国土资源局（现已更名为勐海县自然资源局）</w:t>
      </w:r>
      <w:r>
        <w:rPr>
          <w:rFonts w:hint="eastAsia" w:eastAsia="楷体"/>
          <w:color w:val="000000"/>
        </w:rPr>
        <w:t>。</w:t>
      </w:r>
    </w:p>
    <w:p>
      <w:pPr>
        <w:pStyle w:val="43"/>
        <w:widowControl w:val="0"/>
        <w:adjustRightInd w:val="0"/>
        <w:spacing w:before="211" w:after="211" w:line="360" w:lineRule="auto"/>
        <w:ind w:firstLine="480"/>
        <w:jc w:val="both"/>
        <w:rPr>
          <w:rFonts w:ascii="楷体" w:hAnsi="楷体" w:eastAsia="楷体"/>
          <w:bCs/>
          <w:color w:val="000000" w:themeColor="text1"/>
          <w:szCs w:val="20"/>
          <w14:textFill>
            <w14:solidFill>
              <w14:schemeClr w14:val="tx1"/>
            </w14:solidFill>
          </w14:textFill>
        </w:rPr>
      </w:pPr>
      <w:r>
        <w:rPr>
          <w:rFonts w:hint="eastAsia" w:ascii="楷体" w:hAnsi="楷体" w:eastAsia="楷体"/>
          <w:bCs/>
          <w:color w:val="000000" w:themeColor="text1"/>
          <w:szCs w:val="20"/>
          <w14:textFill>
            <w14:solidFill>
              <w14:schemeClr w14:val="tx1"/>
            </w14:solidFill>
          </w14:textFill>
        </w:rPr>
        <w:t>本所律师认为：勐海县国土资源收购储备中心系在中国境内依法设立、合法存续的事业单位法人，</w:t>
      </w:r>
      <w:r>
        <w:rPr>
          <w:rFonts w:hint="eastAsia" w:eastAsia="楷体"/>
          <w:color w:val="000000"/>
        </w:rPr>
        <w:t>且已被纳入自然资源部土地储备机构名录，符合《地方政府土地储备专项债券管理办法（试行）》（财预〔2017〕62号）第二条的规定，</w:t>
      </w:r>
      <w:r>
        <w:rPr>
          <w:rFonts w:hint="eastAsia" w:ascii="楷体" w:hAnsi="楷体" w:eastAsia="楷体"/>
          <w:bCs/>
          <w:color w:val="000000" w:themeColor="text1"/>
          <w:szCs w:val="20"/>
          <w14:textFill>
            <w14:solidFill>
              <w14:schemeClr w14:val="tx1"/>
            </w14:solidFill>
          </w14:textFill>
        </w:rPr>
        <w:t>具备土地储备的实施主体资质。</w:t>
      </w:r>
    </w:p>
    <w:p>
      <w:pPr>
        <w:pStyle w:val="3"/>
        <w:spacing w:before="211" w:after="211"/>
        <w:jc w:val="left"/>
        <w:rPr>
          <w:rFonts w:hint="eastAsia"/>
          <w:color w:val="000000" w:themeColor="text1"/>
          <w:sz w:val="24"/>
          <w:szCs w:val="24"/>
          <w:highlight w:val="none"/>
          <w14:textFill>
            <w14:solidFill>
              <w14:schemeClr w14:val="tx1"/>
            </w14:solidFill>
          </w14:textFill>
        </w:rPr>
      </w:pPr>
    </w:p>
    <w:p>
      <w:pPr>
        <w:pStyle w:val="3"/>
        <w:spacing w:before="211" w:after="211"/>
        <w:jc w:val="lef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bookmarkStart w:id="15" w:name="_Toc15077"/>
      <w:bookmarkStart w:id="16" w:name="_Toc19512"/>
      <w:bookmarkStart w:id="17" w:name="_Toc38221198"/>
      <w:r>
        <w:rPr>
          <w:rFonts w:hint="eastAsia"/>
          <w:color w:val="000000" w:themeColor="text1"/>
          <w:sz w:val="24"/>
          <w:szCs w:val="24"/>
          <w:highlight w:val="none"/>
          <w14:textFill>
            <w14:solidFill>
              <w14:schemeClr w14:val="tx1"/>
            </w14:solidFill>
          </w14:textFill>
        </w:rPr>
        <w:t>二、项目信息及批复文件</w:t>
      </w:r>
      <w:bookmarkEnd w:id="15"/>
      <w:bookmarkEnd w:id="16"/>
      <w:bookmarkEnd w:id="17"/>
    </w:p>
    <w:p>
      <w:pPr>
        <w:pStyle w:val="43"/>
        <w:autoSpaceDE w:val="0"/>
        <w:autoSpaceDN w:val="0"/>
        <w:adjustRightInd w:val="0"/>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（一）依据《实施方案》，项目具体信息如下：</w:t>
      </w:r>
    </w:p>
    <w:tbl>
      <w:tblPr>
        <w:tblStyle w:val="26"/>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821" w:type="dxa"/>
            <w:vAlign w:val="center"/>
          </w:tcPr>
          <w:p>
            <w:pPr>
              <w:pStyle w:val="43"/>
              <w:keepNext w:val="0"/>
              <w:keepLines w:val="0"/>
              <w:widowControl/>
              <w:suppressLineNumbers w:val="0"/>
              <w:wordWrap w:val="0"/>
              <w:autoSpaceDE w:val="0"/>
              <w:autoSpaceDN w:val="0"/>
              <w:adjustRightInd w:val="0"/>
              <w:spacing w:before="211" w:beforeLines="50" w:beforeAutospacing="0" w:after="211" w:afterLines="50" w:afterAutospacing="0"/>
              <w:ind w:left="0" w:right="0" w:firstLine="0" w:firstLineChars="0"/>
              <w:jc w:val="both"/>
              <w:rPr>
                <w:rFonts w:hint="default"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项目名称</w:t>
            </w:r>
          </w:p>
        </w:tc>
        <w:tc>
          <w:tcPr>
            <w:tcW w:w="6469" w:type="dxa"/>
            <w:vAlign w:val="center"/>
          </w:tcPr>
          <w:p>
            <w:pPr>
              <w:keepNext w:val="0"/>
              <w:keepLines w:val="0"/>
              <w:widowControl/>
              <w:suppressLineNumbers w:val="0"/>
              <w:spacing w:before="0" w:beforeAutospacing="0" w:after="0" w:afterAutospacing="0" w:line="560" w:lineRule="exact"/>
              <w:ind w:left="0" w:right="0" w:firstLine="480" w:firstLineChars="200"/>
              <w:jc w:val="center"/>
              <w:rPr>
                <w:rFonts w:hint="default"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2019年西双版纳州勐海县土地储备项目（调整）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1" w:type="dxa"/>
            <w:vAlign w:val="center"/>
          </w:tcPr>
          <w:p>
            <w:pPr>
              <w:pStyle w:val="43"/>
              <w:keepNext w:val="0"/>
              <w:keepLines w:val="0"/>
              <w:widowControl/>
              <w:suppressLineNumbers w:val="0"/>
              <w:wordWrap w:val="0"/>
              <w:autoSpaceDE w:val="0"/>
              <w:autoSpaceDN w:val="0"/>
              <w:adjustRightInd w:val="0"/>
              <w:spacing w:before="211" w:beforeLines="50" w:beforeAutospacing="0" w:after="211" w:afterLines="50" w:afterAutospacing="0"/>
              <w:ind w:left="0" w:right="0" w:firstLine="0" w:firstLineChars="0"/>
              <w:jc w:val="both"/>
              <w:rPr>
                <w:rFonts w:hint="default" w:ascii="楷体" w:hAnsi="楷体" w:eastAsia="楷体"/>
                <w:color w:val="000000" w:themeColor="text1"/>
                <w:highlight w:val="none"/>
                <w14:textFill>
                  <w14:solidFill>
                    <w14:schemeClr w14:val="tx1"/>
                  </w14:solidFill>
                </w14:textFill>
              </w:rPr>
            </w:pPr>
            <w:r>
              <w:rPr>
                <w:rFonts w:hint="eastAsia" w:ascii="楷体" w:hAnsi="楷体" w:eastAsia="楷体" w:cs="宋体"/>
                <w:color w:val="000000" w:themeColor="text1"/>
                <w:highlight w:val="none"/>
                <w14:textFill>
                  <w14:solidFill>
                    <w14:schemeClr w14:val="tx1"/>
                  </w14:solidFill>
                </w14:textFill>
              </w:rPr>
              <w:t>项目区位</w:t>
            </w:r>
          </w:p>
        </w:tc>
        <w:tc>
          <w:tcPr>
            <w:tcW w:w="6469" w:type="dxa"/>
            <w:vAlign w:val="center"/>
          </w:tcPr>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960" w:firstLineChars="400"/>
              <w:jc w:val="left"/>
              <w:textAlignment w:val="auto"/>
              <w:rPr>
                <w:rFonts w:hint="default"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勐海县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1" w:type="dxa"/>
            <w:vAlign w:val="center"/>
          </w:tcPr>
          <w:p>
            <w:pPr>
              <w:pStyle w:val="43"/>
              <w:keepNext w:val="0"/>
              <w:keepLines w:val="0"/>
              <w:widowControl/>
              <w:suppressLineNumbers w:val="0"/>
              <w:wordWrap w:val="0"/>
              <w:autoSpaceDE w:val="0"/>
              <w:autoSpaceDN w:val="0"/>
              <w:adjustRightInd w:val="0"/>
              <w:spacing w:before="211" w:beforeLines="50" w:beforeAutospacing="0" w:after="211" w:afterLines="50" w:afterAutospacing="0"/>
              <w:ind w:left="0" w:right="0" w:firstLine="0" w:firstLineChars="0"/>
              <w:jc w:val="both"/>
              <w:rPr>
                <w:rFonts w:hint="default" w:ascii="楷体" w:hAnsi="楷体" w:eastAsia="楷体" w:cs="宋体"/>
                <w:color w:val="000000" w:themeColor="text1"/>
                <w:highlight w:val="none"/>
                <w14:textFill>
                  <w14:solidFill>
                    <w14:schemeClr w14:val="tx1"/>
                  </w14:solidFill>
                </w14:textFill>
              </w:rPr>
            </w:pPr>
            <w:r>
              <w:rPr>
                <w:rFonts w:hint="eastAsia" w:ascii="楷体" w:hAnsi="楷体" w:eastAsia="楷体" w:cs="宋体"/>
                <w:color w:val="000000" w:themeColor="text1"/>
                <w:highlight w:val="none"/>
                <w14:textFill>
                  <w14:solidFill>
                    <w14:schemeClr w14:val="tx1"/>
                  </w14:solidFill>
                </w14:textFill>
              </w:rPr>
              <w:t>项目建设内容</w:t>
            </w:r>
          </w:p>
        </w:tc>
        <w:tc>
          <w:tcPr>
            <w:tcW w:w="6469" w:type="dxa"/>
            <w:vAlign w:val="center"/>
          </w:tcPr>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480" w:firstLineChars="200"/>
              <w:jc w:val="left"/>
              <w:textAlignment w:val="auto"/>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①建设目标：2019年西双版纳州勐海县土地储备项目（调整）的任务是对成片开发方案中的地块HTC2021-1号、HTC2019-2号、HTC2019-3号的被征地农民社会保障基金和征地和拆迁补偿费用的支付。</w:t>
            </w:r>
          </w:p>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480" w:firstLineChars="200"/>
              <w:jc w:val="left"/>
              <w:textAlignment w:val="auto"/>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②实施方式：本项目由勐海县国土资源收购储备中心负责实施，对开发方案中的地块进行被征地农民社会保障基金和征地和拆迁补偿费用的支付。</w:t>
            </w:r>
          </w:p>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480" w:firstLineChars="200"/>
              <w:jc w:val="left"/>
              <w:textAlignment w:val="auto"/>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③建设内容、技术规模指标：</w:t>
            </w:r>
          </w:p>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480" w:firstLineChars="200"/>
              <w:jc w:val="left"/>
              <w:textAlignment w:val="auto"/>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本项目涉及开发方案中的地块，用地范围总面积约1020.48亩。</w:t>
            </w:r>
          </w:p>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480" w:firstLineChars="200"/>
              <w:jc w:val="left"/>
              <w:textAlignment w:val="auto"/>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④预计产出：本项目用地范围总面积为1020.48亩，经过开发整理，土地开发成熟并进入市场。其中：可出让土地有920.29亩，绿化4.02亩，道路30.09亩，服务设施用地64.84亩，其他用地1.24亩。</w:t>
            </w:r>
          </w:p>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480" w:firstLineChars="200"/>
              <w:jc w:val="left"/>
              <w:textAlignment w:val="auto"/>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可出让土地有920.29亩，其中：商住用地682.88亩，工业用地237.41亩。</w:t>
            </w:r>
          </w:p>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480" w:firstLineChars="200"/>
              <w:jc w:val="left"/>
              <w:textAlignment w:val="auto"/>
              <w:rPr>
                <w:rFonts w:hint="default" w:ascii="楷体" w:hAnsi="楷体" w:eastAsia="楷体" w:cs="仿宋_GB2312"/>
                <w:color w:val="000000" w:themeColor="text1"/>
                <w:highlight w:val="none"/>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⑤项目建设期和运营期：本项目建设期为2021年，运营期为2022年至2024年。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1" w:type="dxa"/>
            <w:vAlign w:val="center"/>
          </w:tcPr>
          <w:p>
            <w:pPr>
              <w:pStyle w:val="43"/>
              <w:keepNext w:val="0"/>
              <w:keepLines w:val="0"/>
              <w:widowControl/>
              <w:suppressLineNumbers w:val="0"/>
              <w:wordWrap w:val="0"/>
              <w:autoSpaceDE w:val="0"/>
              <w:autoSpaceDN w:val="0"/>
              <w:adjustRightInd w:val="0"/>
              <w:spacing w:before="211" w:beforeLines="50" w:beforeAutospacing="0" w:after="211" w:afterLines="50" w:afterAutospacing="0"/>
              <w:ind w:left="0" w:right="0" w:firstLine="0" w:firstLineChars="0"/>
              <w:jc w:val="center"/>
              <w:rPr>
                <w:rFonts w:hint="default" w:ascii="楷体" w:hAnsi="楷体" w:eastAsia="楷体" w:cs="宋体"/>
                <w:color w:val="000000" w:themeColor="text1"/>
                <w:highlight w:val="none"/>
                <w14:textFill>
                  <w14:solidFill>
                    <w14:schemeClr w14:val="tx1"/>
                  </w14:solidFill>
                </w14:textFill>
              </w:rPr>
            </w:pPr>
            <w:r>
              <w:rPr>
                <w:rFonts w:hint="eastAsia" w:ascii="楷体" w:hAnsi="楷体" w:eastAsia="楷体" w:cs="宋体"/>
                <w:color w:val="000000" w:themeColor="text1"/>
                <w:highlight w:val="none"/>
                <w14:textFill>
                  <w14:solidFill>
                    <w14:schemeClr w14:val="tx1"/>
                  </w14:solidFill>
                </w14:textFill>
              </w:rPr>
              <w:t>项目总投资及资金来源</w:t>
            </w:r>
          </w:p>
        </w:tc>
        <w:tc>
          <w:tcPr>
            <w:tcW w:w="6469" w:type="dxa"/>
            <w:vAlign w:val="center"/>
          </w:tcPr>
          <w:p>
            <w:pPr>
              <w:pStyle w:val="43"/>
              <w:keepNext w:val="0"/>
              <w:keepLines w:val="0"/>
              <w:pageBreakBefore w:val="0"/>
              <w:widowControl/>
              <w:suppressLineNumbers w:val="0"/>
              <w:kinsoku/>
              <w:wordWrap w:val="0"/>
              <w:overflowPunct/>
              <w:topLinePunct w:val="0"/>
              <w:autoSpaceDE w:val="0"/>
              <w:autoSpaceDN w:val="0"/>
              <w:bidi w:val="0"/>
              <w:adjustRightInd w:val="0"/>
              <w:spacing w:before="211" w:beforeLines="50" w:beforeAutospacing="0" w:after="211" w:afterLines="50" w:afterAutospacing="0" w:line="240" w:lineRule="auto"/>
              <w:ind w:left="0" w:right="0" w:firstLine="480" w:firstLineChars="200"/>
              <w:jc w:val="left"/>
              <w:textAlignment w:val="auto"/>
              <w:rPr>
                <w:rFonts w:hint="default"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default" w:ascii="楷体" w:hAnsi="楷体" w:eastAsia="楷体" w:cs="Times New Roman"/>
                <w:color w:val="000000" w:themeColor="text1"/>
                <w:sz w:val="24"/>
                <w:szCs w:val="24"/>
                <w:highlight w:val="none"/>
                <w:lang w:val="en-US" w:eastAsia="zh-CN" w:bidi="ar-SA"/>
                <w14:textFill>
                  <w14:solidFill>
                    <w14:schemeClr w14:val="tx1"/>
                  </w14:solidFill>
                </w14:textFill>
              </w:rPr>
              <w:t>本项目总投资3626.9</w:t>
            </w: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7</w:t>
            </w:r>
            <w:r>
              <w:rPr>
                <w:rFonts w:hint="default" w:ascii="楷体" w:hAnsi="楷体" w:eastAsia="楷体" w:cs="Times New Roman"/>
                <w:color w:val="000000" w:themeColor="text1"/>
                <w:sz w:val="24"/>
                <w:szCs w:val="24"/>
                <w:highlight w:val="none"/>
                <w:lang w:val="en-US" w:eastAsia="zh-CN" w:bidi="ar-SA"/>
                <w14:textFill>
                  <w14:solidFill>
                    <w14:schemeClr w14:val="tx1"/>
                  </w14:solidFill>
                </w14:textFill>
              </w:rPr>
              <w:t xml:space="preserve"> 万元，其中财政资金1059.97万元，已到位1059.97万元，为支付2021、2022、2023、2024年利息部分、新增建设用地土地有偿使用费及耕地占用税。利用专项债券结余金额2567.00万元，占总投资的70.78%。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1" w:type="dxa"/>
            <w:vAlign w:val="center"/>
          </w:tcPr>
          <w:p>
            <w:pPr>
              <w:pStyle w:val="43"/>
              <w:keepNext w:val="0"/>
              <w:keepLines w:val="0"/>
              <w:widowControl/>
              <w:suppressLineNumbers w:val="0"/>
              <w:wordWrap w:val="0"/>
              <w:autoSpaceDE w:val="0"/>
              <w:autoSpaceDN w:val="0"/>
              <w:adjustRightInd w:val="0"/>
              <w:spacing w:before="211" w:beforeLines="50" w:beforeAutospacing="0" w:after="211" w:afterLines="50" w:afterAutospacing="0"/>
              <w:ind w:left="0" w:right="0" w:firstLine="0" w:firstLineChars="0"/>
              <w:jc w:val="center"/>
              <w:rPr>
                <w:rFonts w:hint="default" w:ascii="楷体" w:hAnsi="楷体" w:eastAsia="楷体" w:cs="宋体"/>
                <w:color w:val="000000" w:themeColor="text1"/>
                <w:highlight w:val="none"/>
                <w14:textFill>
                  <w14:solidFill>
                    <w14:schemeClr w14:val="tx1"/>
                  </w14:solidFill>
                </w14:textFill>
              </w:rPr>
            </w:pPr>
            <w:r>
              <w:rPr>
                <w:rFonts w:hint="eastAsia" w:ascii="楷体" w:hAnsi="楷体" w:eastAsia="楷体" w:cs="宋体"/>
                <w:color w:val="000000" w:themeColor="text1"/>
                <w:highlight w:val="none"/>
                <w14:textFill>
                  <w14:solidFill>
                    <w14:schemeClr w14:val="tx1"/>
                  </w14:solidFill>
                </w14:textFill>
              </w:rPr>
              <w:t>发行债券</w:t>
            </w:r>
            <w:r>
              <w:rPr>
                <w:rFonts w:hint="eastAsia" w:ascii="楷体" w:hAnsi="楷体" w:eastAsia="楷体" w:cs="宋体"/>
                <w:color w:val="000000" w:themeColor="text1"/>
                <w:highlight w:val="none"/>
                <w:lang w:eastAsia="zh-Hans"/>
                <w14:textFill>
                  <w14:solidFill>
                    <w14:schemeClr w14:val="tx1"/>
                  </w14:solidFill>
                </w14:textFill>
              </w:rPr>
              <w:t>品种</w:t>
            </w:r>
          </w:p>
        </w:tc>
        <w:tc>
          <w:tcPr>
            <w:tcW w:w="6469" w:type="dxa"/>
            <w:vAlign w:val="center"/>
          </w:tcPr>
          <w:p>
            <w:pPr>
              <w:pStyle w:val="43"/>
              <w:keepNext w:val="0"/>
              <w:keepLines w:val="0"/>
              <w:pageBreakBefore w:val="0"/>
              <w:widowControl/>
              <w:suppressLineNumbers w:val="0"/>
              <w:kinsoku/>
              <w:wordWrap w:val="0"/>
              <w:overflowPunct/>
              <w:topLinePunct w:val="0"/>
              <w:autoSpaceDE w:val="0"/>
              <w:autoSpaceDN w:val="0"/>
              <w:bidi w:val="0"/>
              <w:adjustRightInd w:val="0"/>
              <w:spacing w:before="211" w:beforeLines="50" w:beforeAutospacing="0" w:after="211" w:afterLines="50" w:afterAutospacing="0" w:line="240" w:lineRule="auto"/>
              <w:ind w:left="0" w:right="0" w:firstLine="480" w:firstLineChars="200"/>
              <w:jc w:val="left"/>
              <w:textAlignment w:val="auto"/>
              <w:rPr>
                <w:rFonts w:hint="default"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地方政府土地储备专项债券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821" w:type="dxa"/>
            <w:vAlign w:val="center"/>
          </w:tcPr>
          <w:p>
            <w:pPr>
              <w:pStyle w:val="43"/>
              <w:keepNext w:val="0"/>
              <w:keepLines w:val="0"/>
              <w:widowControl/>
              <w:suppressLineNumbers w:val="0"/>
              <w:wordWrap w:val="0"/>
              <w:autoSpaceDE w:val="0"/>
              <w:autoSpaceDN w:val="0"/>
              <w:adjustRightInd w:val="0"/>
              <w:spacing w:before="211" w:beforeLines="50" w:beforeAutospacing="0" w:after="211" w:afterLines="50" w:afterAutospacing="0"/>
              <w:ind w:left="0" w:right="0" w:firstLine="0" w:firstLineChars="0"/>
              <w:jc w:val="center"/>
              <w:rPr>
                <w:rFonts w:hint="default" w:ascii="楷体" w:hAnsi="楷体" w:eastAsia="楷体" w:cs="宋体"/>
                <w:color w:val="000000" w:themeColor="text1"/>
                <w:highlight w:val="none"/>
                <w14:textFill>
                  <w14:solidFill>
                    <w14:schemeClr w14:val="tx1"/>
                  </w14:solidFill>
                </w14:textFill>
              </w:rPr>
            </w:pPr>
            <w:r>
              <w:rPr>
                <w:rFonts w:hint="eastAsia" w:ascii="楷体" w:hAnsi="楷体" w:eastAsia="楷体" w:cs="宋体"/>
                <w:color w:val="000000" w:themeColor="text1"/>
                <w:highlight w:val="none"/>
                <w14:textFill>
                  <w14:solidFill>
                    <w14:schemeClr w14:val="tx1"/>
                  </w14:solidFill>
                </w14:textFill>
              </w:rPr>
              <w:t>发行债券金额及期限</w:t>
            </w:r>
          </w:p>
        </w:tc>
        <w:tc>
          <w:tcPr>
            <w:tcW w:w="6469" w:type="dxa"/>
            <w:vAlign w:val="center"/>
          </w:tcPr>
          <w:p>
            <w:pPr>
              <w:pStyle w:val="51"/>
              <w:keepNext w:val="0"/>
              <w:keepLines w:val="0"/>
              <w:pageBreakBefore w:val="0"/>
              <w:suppressLineNumbers w:val="0"/>
              <w:kinsoku/>
              <w:overflowPunct/>
              <w:topLinePunct w:val="0"/>
              <w:bidi w:val="0"/>
              <w:spacing w:before="0" w:beforeAutospacing="0" w:after="0" w:afterAutospacing="0" w:line="240" w:lineRule="auto"/>
              <w:ind w:left="0" w:right="0" w:firstLine="480" w:firstLineChars="200"/>
              <w:jc w:val="left"/>
              <w:textAlignment w:val="auto"/>
              <w:rPr>
                <w:rFonts w:hint="default"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本项目专项债券资金2567.00万元来源于勐海县2019年发行的土地储备专项债券，发债期限5年，实际发债利率3.26%，偿债方式为按年付息，到期还本。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1" w:type="dxa"/>
            <w:vAlign w:val="center"/>
          </w:tcPr>
          <w:p>
            <w:pPr>
              <w:pStyle w:val="43"/>
              <w:keepNext w:val="0"/>
              <w:keepLines w:val="0"/>
              <w:widowControl/>
              <w:suppressLineNumbers w:val="0"/>
              <w:wordWrap w:val="0"/>
              <w:autoSpaceDE w:val="0"/>
              <w:autoSpaceDN w:val="0"/>
              <w:adjustRightInd w:val="0"/>
              <w:spacing w:before="211" w:beforeLines="50" w:beforeAutospacing="0" w:after="211" w:afterLines="50" w:afterAutospacing="0"/>
              <w:ind w:left="0" w:right="0" w:firstLine="0" w:firstLineChars="0"/>
              <w:jc w:val="center"/>
              <w:rPr>
                <w:rFonts w:hint="default" w:ascii="楷体" w:hAnsi="楷体" w:eastAsia="楷体"/>
                <w:color w:val="000000" w:themeColor="text1"/>
                <w:highlight w:val="none"/>
                <w14:textFill>
                  <w14:solidFill>
                    <w14:schemeClr w14:val="tx1"/>
                  </w14:solidFill>
                </w14:textFill>
              </w:rPr>
            </w:pPr>
            <w:r>
              <w:rPr>
                <w:rFonts w:hint="eastAsia" w:ascii="楷体" w:hAnsi="楷体" w:eastAsia="楷体" w:cs="宋体"/>
                <w:color w:val="000000" w:themeColor="text1"/>
                <w:highlight w:val="none"/>
                <w14:textFill>
                  <w14:solidFill>
                    <w14:schemeClr w14:val="tx1"/>
                  </w14:solidFill>
                </w14:textFill>
              </w:rPr>
              <w:t>项目实施计划</w:t>
            </w:r>
          </w:p>
        </w:tc>
        <w:tc>
          <w:tcPr>
            <w:tcW w:w="6469" w:type="dxa"/>
            <w:vAlign w:val="center"/>
          </w:tcPr>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480" w:firstLineChars="200"/>
              <w:jc w:val="left"/>
              <w:textAlignment w:val="auto"/>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项目建设工期：2021年。</w:t>
            </w:r>
          </w:p>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480" w:firstLineChars="200"/>
              <w:jc w:val="left"/>
              <w:textAlignment w:val="auto"/>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 xml:space="preserve"> 2021年7月-2021年8月  完成征收前期工作，包括：发布征收告知书、听证程序、测绘及实物登记等工作。</w:t>
            </w:r>
          </w:p>
          <w:p>
            <w:pPr>
              <w:pStyle w:val="43"/>
              <w:keepNext w:val="0"/>
              <w:keepLines w:val="0"/>
              <w:pageBreakBefore w:val="0"/>
              <w:widowControl/>
              <w:suppressLineNumbers w:val="0"/>
              <w:kinsoku/>
              <w:wordWrap w:val="0"/>
              <w:overflowPunct/>
              <w:topLinePunct w:val="0"/>
              <w:autoSpaceDE w:val="0"/>
              <w:autoSpaceDN w:val="0"/>
              <w:bidi w:val="0"/>
              <w:adjustRightInd w:val="0"/>
              <w:snapToGrid/>
              <w:spacing w:before="211" w:beforeLines="50" w:beforeAutospacing="0" w:after="211" w:afterLines="50" w:afterAutospacing="0"/>
              <w:ind w:left="0" w:right="0" w:firstLine="480" w:firstLineChars="200"/>
              <w:jc w:val="left"/>
              <w:textAlignment w:val="auto"/>
              <w:rPr>
                <w:rFonts w:hint="default" w:ascii="楷体" w:hAnsi="楷体" w:eastAsia="楷体"/>
                <w:color w:val="000000" w:themeColor="text1"/>
                <w:highlight w:val="none"/>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2021年9月  完成征地拆迁工作。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1" w:type="dxa"/>
            <w:vAlign w:val="center"/>
          </w:tcPr>
          <w:p>
            <w:pPr>
              <w:pStyle w:val="43"/>
              <w:keepNext w:val="0"/>
              <w:keepLines w:val="0"/>
              <w:widowControl/>
              <w:suppressLineNumbers w:val="0"/>
              <w:wordWrap w:val="0"/>
              <w:autoSpaceDE w:val="0"/>
              <w:autoSpaceDN w:val="0"/>
              <w:adjustRightInd w:val="0"/>
              <w:spacing w:before="211" w:beforeLines="50" w:beforeAutospacing="0" w:after="211" w:afterLines="50" w:afterAutospacing="0"/>
              <w:ind w:left="0" w:right="0" w:firstLine="0" w:firstLineChars="0"/>
              <w:jc w:val="center"/>
              <w:rPr>
                <w:rFonts w:hint="default" w:ascii="楷体" w:hAnsi="楷体" w:eastAsia="楷体" w:cs="宋体"/>
                <w:color w:val="000000" w:themeColor="text1"/>
                <w:highlight w:val="none"/>
                <w14:textFill>
                  <w14:solidFill>
                    <w14:schemeClr w14:val="tx1"/>
                  </w14:solidFill>
                </w14:textFill>
              </w:rPr>
            </w:pPr>
            <w:r>
              <w:rPr>
                <w:rFonts w:hint="eastAsia" w:ascii="楷体" w:hAnsi="楷体" w:eastAsia="楷体" w:cs="宋体"/>
                <w:color w:val="000000" w:themeColor="text1"/>
                <w:highlight w:val="none"/>
                <w14:textFill>
                  <w14:solidFill>
                    <w14:schemeClr w14:val="tx1"/>
                  </w14:solidFill>
                </w14:textFill>
              </w:rPr>
              <w:t>资金使用计划</w:t>
            </w:r>
          </w:p>
        </w:tc>
        <w:tc>
          <w:tcPr>
            <w:tcW w:w="6469" w:type="dxa"/>
            <w:vAlign w:val="center"/>
          </w:tcPr>
          <w:p>
            <w:pPr>
              <w:keepNext w:val="0"/>
              <w:keepLines w:val="0"/>
              <w:pageBreakBefore w:val="0"/>
              <w:widowControl/>
              <w:suppressLineNumbers w:val="0"/>
              <w:kinsoku/>
              <w:wordWrap w:val="0"/>
              <w:overflowPunct/>
              <w:topLinePunct w:val="0"/>
              <w:bidi w:val="0"/>
              <w:spacing w:before="50" w:beforeAutospacing="0" w:after="50" w:afterAutospacing="0" w:line="240" w:lineRule="auto"/>
              <w:ind w:left="0" w:right="0" w:firstLine="480" w:firstLineChars="200"/>
              <w:jc w:val="left"/>
              <w:textAlignment w:val="auto"/>
              <w:rPr>
                <w:rFonts w:hint="default" w:ascii="楷体" w:hAnsi="楷体" w:eastAsia="仿宋"/>
                <w:color w:val="000000" w:themeColor="text1"/>
                <w:highlight w:val="none"/>
                <w:lang w:val="en-US" w:eastAsia="zh-CN"/>
                <w14:textFill>
                  <w14:solidFill>
                    <w14:schemeClr w14:val="tx1"/>
                  </w14:solidFill>
                </w14:textFill>
              </w:rPr>
            </w:pPr>
            <w:r>
              <w:rPr>
                <w:rFonts w:hint="eastAsia" w:ascii="楷体" w:hAnsi="楷体" w:eastAsia="楷体" w:cs="Times New Roman"/>
                <w:color w:val="000000" w:themeColor="text1"/>
                <w:sz w:val="24"/>
                <w:szCs w:val="24"/>
                <w:highlight w:val="none"/>
                <w:lang w:val="en-US" w:eastAsia="zh-CN" w:bidi="ar-SA"/>
                <w14:textFill>
                  <w14:solidFill>
                    <w14:schemeClr w14:val="tx1"/>
                  </w14:solidFill>
                </w14:textFill>
              </w:rPr>
              <w:t>本项目总投资3626.97万元，2021年投入2650.68万元，2022年度投入379.98万元，2023年度投入379.98万元，2024年投入216.33万元。</w:t>
            </w:r>
          </w:p>
        </w:tc>
      </w:tr>
    </w:tbl>
    <w:p>
      <w:pPr>
        <w:spacing w:before="50" w:after="50" w:line="360" w:lineRule="auto"/>
        <w:ind w:firstLine="480" w:firstLineChars="200"/>
        <w:rPr>
          <w:rFonts w:ascii="楷体" w:hAnsi="楷体" w:eastAsia="楷体"/>
          <w:bCs/>
          <w:color w:val="000000" w:themeColor="text1"/>
          <w:highlight w:val="none"/>
          <w14:textFill>
            <w14:solidFill>
              <w14:schemeClr w14:val="tx1"/>
            </w14:solidFill>
          </w14:textFill>
        </w:rPr>
      </w:pPr>
      <w:bookmarkStart w:id="18" w:name="_Toc520282143"/>
      <w:r>
        <w:rPr>
          <w:rFonts w:hint="eastAsia" w:ascii="楷体" w:hAnsi="楷体" w:eastAsia="楷体"/>
          <w:bCs/>
          <w:color w:val="000000" w:themeColor="text1"/>
          <w:highlight w:val="none"/>
          <w14:textFill>
            <w14:solidFill>
              <w14:schemeClr w14:val="tx1"/>
            </w14:solidFill>
          </w14:textFill>
        </w:rPr>
        <w:t>（二）项目批复文件</w:t>
      </w:r>
      <w:bookmarkEnd w:id="18"/>
    </w:p>
    <w:p>
      <w:pPr>
        <w:pStyle w:val="43"/>
        <w:autoSpaceDE w:val="0"/>
        <w:autoSpaceDN w:val="0"/>
        <w:adjustRightInd w:val="0"/>
        <w:spacing w:before="211" w:beforeLines="50" w:after="211" w:afterLines="50" w:line="360" w:lineRule="auto"/>
        <w:ind w:firstLine="480" w:firstLineChars="0"/>
        <w:jc w:val="both"/>
        <w:rPr>
          <w:rFonts w:hint="eastAsia"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经本所律师核查，截至本法律意见</w:t>
      </w:r>
      <w:bookmarkStart w:id="34" w:name="_GoBack"/>
      <w:bookmarkEnd w:id="34"/>
      <w:r>
        <w:rPr>
          <w:rFonts w:hint="eastAsia" w:ascii="楷体" w:hAnsi="楷体" w:eastAsia="楷体"/>
          <w:color w:val="000000" w:themeColor="text1"/>
          <w:highlight w:val="none"/>
          <w14:textFill>
            <w14:solidFill>
              <w14:schemeClr w14:val="tx1"/>
            </w14:solidFill>
          </w14:textFill>
        </w:rPr>
        <w:t>书出具之日，</w:t>
      </w:r>
      <w:r>
        <w:rPr>
          <w:rFonts w:hint="eastAsia" w:ascii="楷体" w:hAnsi="楷体" w:eastAsia="楷体" w:cs="宋体"/>
          <w:color w:val="000000" w:themeColor="text1"/>
          <w:highlight w:val="none"/>
          <w14:textFill>
            <w14:solidFill>
              <w14:schemeClr w14:val="tx1"/>
            </w14:solidFill>
          </w14:textFill>
        </w:rPr>
        <w:t>本法律意见书所涉项目</w:t>
      </w:r>
      <w:r>
        <w:rPr>
          <w:rFonts w:hint="eastAsia" w:ascii="楷体" w:hAnsi="楷体" w:eastAsia="楷体"/>
          <w:color w:val="000000" w:themeColor="text1"/>
          <w:highlight w:val="none"/>
          <w14:textFill>
            <w14:solidFill>
              <w14:schemeClr w14:val="tx1"/>
            </w14:solidFill>
          </w14:textFill>
        </w:rPr>
        <w:t>已取得批复文件如下：</w:t>
      </w:r>
    </w:p>
    <w:p>
      <w:pPr>
        <w:pStyle w:val="43"/>
        <w:numPr>
          <w:ilvl w:val="0"/>
          <w:numId w:val="0"/>
        </w:numPr>
        <w:autoSpaceDE w:val="0"/>
        <w:autoSpaceDN w:val="0"/>
        <w:adjustRightInd w:val="0"/>
        <w:spacing w:before="211" w:beforeLines="50" w:after="211" w:afterLines="50" w:line="360" w:lineRule="auto"/>
        <w:ind w:firstLine="480" w:firstLineChars="200"/>
        <w:jc w:val="both"/>
        <w:rPr>
          <w:rFonts w:hint="default" w:ascii="楷体" w:hAnsi="楷体" w:eastAsia="楷体"/>
          <w:color w:val="000000" w:themeColor="text1"/>
          <w:highlight w:val="none"/>
          <w:lang w:val="en-US" w:eastAsia="zh-CN"/>
          <w14:textFill>
            <w14:solidFill>
              <w14:schemeClr w14:val="tx1"/>
            </w14:solidFill>
          </w14:textFill>
        </w:rPr>
      </w:pPr>
      <w:r>
        <w:rPr>
          <w:rFonts w:hint="eastAsia" w:ascii="楷体" w:hAnsi="楷体" w:eastAsia="楷体"/>
          <w:color w:val="000000" w:themeColor="text1"/>
          <w:highlight w:val="none"/>
          <w:lang w:val="en-US" w:eastAsia="zh-CN"/>
          <w14:textFill>
            <w14:solidFill>
              <w14:schemeClr w14:val="tx1"/>
            </w14:solidFill>
          </w14:textFill>
        </w:rPr>
        <w:t>1.2021</w:t>
      </w:r>
      <w:r>
        <w:rPr>
          <w:rFonts w:hint="eastAsia" w:ascii="楷体" w:hAnsi="楷体" w:eastAsia="楷体"/>
          <w:color w:val="000000" w:themeColor="text1"/>
          <w:highlight w:val="none"/>
          <w14:textFill>
            <w14:solidFill>
              <w14:schemeClr w14:val="tx1"/>
            </w14:solidFill>
          </w14:textFill>
        </w:rPr>
        <w:t>年</w:t>
      </w:r>
      <w:r>
        <w:rPr>
          <w:rFonts w:hint="eastAsia" w:ascii="楷体" w:hAnsi="楷体" w:eastAsia="楷体"/>
          <w:color w:val="000000" w:themeColor="text1"/>
          <w:highlight w:val="none"/>
          <w:lang w:val="en-US" w:eastAsia="zh-CN"/>
          <w14:textFill>
            <w14:solidFill>
              <w14:schemeClr w14:val="tx1"/>
            </w14:solidFill>
          </w14:textFill>
        </w:rPr>
        <w:t>7</w:t>
      </w:r>
      <w:r>
        <w:rPr>
          <w:rFonts w:hint="eastAsia" w:ascii="楷体" w:hAnsi="楷体" w:eastAsia="楷体"/>
          <w:color w:val="000000" w:themeColor="text1"/>
          <w:highlight w:val="none"/>
          <w14:textFill>
            <w14:solidFill>
              <w14:schemeClr w14:val="tx1"/>
            </w14:solidFill>
          </w14:textFill>
        </w:rPr>
        <w:t>月</w:t>
      </w:r>
      <w:r>
        <w:rPr>
          <w:rFonts w:hint="eastAsia" w:ascii="楷体" w:hAnsi="楷体" w:eastAsia="楷体"/>
          <w:color w:val="000000" w:themeColor="text1"/>
          <w:highlight w:val="none"/>
          <w:lang w:val="en-US" w:eastAsia="zh-CN"/>
          <w14:textFill>
            <w14:solidFill>
              <w14:schemeClr w14:val="tx1"/>
            </w14:solidFill>
          </w14:textFill>
        </w:rPr>
        <w:t>28</w:t>
      </w:r>
      <w:r>
        <w:rPr>
          <w:rFonts w:hint="eastAsia" w:ascii="楷体" w:hAnsi="楷体" w:eastAsia="楷体"/>
          <w:color w:val="000000" w:themeColor="text1"/>
          <w:highlight w:val="none"/>
          <w14:textFill>
            <w14:solidFill>
              <w14:schemeClr w14:val="tx1"/>
            </w14:solidFill>
          </w14:textFill>
        </w:rPr>
        <w:t>日，</w:t>
      </w:r>
      <w:r>
        <w:rPr>
          <w:rFonts w:hint="eastAsia" w:ascii="楷体" w:hAnsi="楷体" w:eastAsia="楷体"/>
          <w:color w:val="000000"/>
          <w:highlight w:val="none"/>
        </w:rPr>
        <w:t>勐海县人民政府关于《云南省西双版纳州202</w:t>
      </w:r>
      <w:r>
        <w:rPr>
          <w:rFonts w:hint="eastAsia" w:ascii="楷体" w:hAnsi="楷体" w:eastAsia="楷体"/>
          <w:color w:val="000000"/>
          <w:highlight w:val="none"/>
          <w:lang w:val="en-US" w:eastAsia="zh-CN"/>
        </w:rPr>
        <w:t>1</w:t>
      </w:r>
      <w:r>
        <w:rPr>
          <w:rFonts w:hint="eastAsia" w:ascii="楷体" w:hAnsi="楷体" w:eastAsia="楷体"/>
          <w:color w:val="000000"/>
          <w:highlight w:val="none"/>
        </w:rPr>
        <w:t>年度土地储备计划（勐海县）的批复》（海政复[</w:t>
      </w:r>
      <w:r>
        <w:rPr>
          <w:rFonts w:hint="eastAsia" w:ascii="楷体" w:hAnsi="楷体" w:eastAsia="楷体"/>
          <w:color w:val="000000"/>
          <w:highlight w:val="none"/>
          <w:lang w:val="en-US" w:eastAsia="zh-CN"/>
        </w:rPr>
        <w:t>2021</w:t>
      </w:r>
      <w:r>
        <w:rPr>
          <w:rFonts w:hint="eastAsia" w:ascii="楷体" w:hAnsi="楷体" w:eastAsia="楷体"/>
          <w:color w:val="000000"/>
          <w:highlight w:val="none"/>
        </w:rPr>
        <w:t>]</w:t>
      </w:r>
      <w:r>
        <w:rPr>
          <w:rFonts w:hint="eastAsia" w:ascii="楷体" w:hAnsi="楷体" w:eastAsia="楷体"/>
          <w:color w:val="000000"/>
          <w:highlight w:val="none"/>
          <w:lang w:val="en-US" w:eastAsia="zh-CN"/>
        </w:rPr>
        <w:t xml:space="preserve"> 162</w:t>
      </w:r>
      <w:r>
        <w:rPr>
          <w:rFonts w:hint="eastAsia" w:ascii="楷体" w:hAnsi="楷体" w:eastAsia="楷体"/>
          <w:color w:val="000000"/>
          <w:highlight w:val="none"/>
        </w:rPr>
        <w:t>号），对《关于&lt;云南省西双版纳州202</w:t>
      </w:r>
      <w:r>
        <w:rPr>
          <w:rFonts w:hint="eastAsia" w:ascii="楷体" w:hAnsi="楷体" w:eastAsia="楷体"/>
          <w:color w:val="000000"/>
          <w:highlight w:val="none"/>
          <w:lang w:val="en-US" w:eastAsia="zh-CN"/>
        </w:rPr>
        <w:t>1</w:t>
      </w:r>
      <w:r>
        <w:rPr>
          <w:rFonts w:hint="eastAsia" w:ascii="楷体" w:hAnsi="楷体" w:eastAsia="楷体"/>
          <w:color w:val="000000"/>
          <w:highlight w:val="none"/>
        </w:rPr>
        <w:t>年度土地储备计划（勐海县）&gt;的请示》（</w:t>
      </w:r>
      <w:r>
        <w:rPr>
          <w:rFonts w:hint="eastAsia" w:ascii="楷体" w:hAnsi="楷体" w:eastAsia="楷体"/>
          <w:color w:val="000000"/>
          <w:highlight w:val="none"/>
          <w:lang w:eastAsia="zh-CN"/>
        </w:rPr>
        <w:t>海土储</w:t>
      </w:r>
      <w:r>
        <w:rPr>
          <w:rFonts w:hint="eastAsia" w:ascii="楷体" w:hAnsi="楷体" w:eastAsia="楷体"/>
          <w:color w:val="000000"/>
          <w:highlight w:val="none"/>
        </w:rPr>
        <w:t>[</w:t>
      </w:r>
      <w:r>
        <w:rPr>
          <w:rFonts w:hint="eastAsia" w:ascii="楷体" w:hAnsi="楷体" w:eastAsia="楷体"/>
          <w:color w:val="000000"/>
          <w:highlight w:val="none"/>
          <w:lang w:val="en-US" w:eastAsia="zh-CN"/>
        </w:rPr>
        <w:t>2021</w:t>
      </w:r>
      <w:r>
        <w:rPr>
          <w:rFonts w:hint="eastAsia" w:ascii="楷体" w:hAnsi="楷体" w:eastAsia="楷体"/>
          <w:color w:val="000000"/>
          <w:highlight w:val="none"/>
        </w:rPr>
        <w:t>]</w:t>
      </w:r>
      <w:r>
        <w:rPr>
          <w:rFonts w:hint="eastAsia" w:ascii="楷体" w:hAnsi="楷体" w:eastAsia="楷体"/>
          <w:color w:val="000000"/>
          <w:highlight w:val="none"/>
          <w:lang w:val="en-US" w:eastAsia="zh-CN"/>
        </w:rPr>
        <w:t>9</w:t>
      </w:r>
      <w:r>
        <w:rPr>
          <w:rFonts w:hint="eastAsia" w:ascii="楷体" w:hAnsi="楷体" w:eastAsia="楷体"/>
          <w:color w:val="000000"/>
          <w:highlight w:val="none"/>
        </w:rPr>
        <w:t>号）进行批复，原则同意请示事项。2019年西双版纳州勐海县土地储备项目（调整）实施方案中涉及的所有地块</w:t>
      </w:r>
      <w:r>
        <w:rPr>
          <w:rFonts w:hint="eastAsia" w:ascii="楷体" w:hAnsi="楷体" w:eastAsia="楷体"/>
          <w:color w:val="000000"/>
          <w:highlight w:val="none"/>
          <w:lang w:val="en-US" w:eastAsia="zh-CN"/>
        </w:rPr>
        <w:t>均已纳入2021年度土地储备计划。</w:t>
      </w:r>
    </w:p>
    <w:p>
      <w:pPr>
        <w:pStyle w:val="43"/>
        <w:autoSpaceDE w:val="0"/>
        <w:autoSpaceDN w:val="0"/>
        <w:adjustRightInd w:val="0"/>
        <w:spacing w:before="211" w:beforeLines="50" w:after="211" w:afterLines="50" w:line="360" w:lineRule="auto"/>
        <w:ind w:firstLine="480" w:firstLineChars="0"/>
        <w:jc w:val="both"/>
        <w:rPr>
          <w:rFonts w:ascii="楷体" w:hAnsi="楷体" w:eastAsia="楷体"/>
          <w:color w:val="000000"/>
          <w:highlight w:val="none"/>
        </w:rPr>
      </w:pPr>
      <w:r>
        <w:rPr>
          <w:rFonts w:hint="eastAsia" w:ascii="楷体" w:hAnsi="楷体" w:eastAsia="楷体"/>
          <w:color w:val="000000"/>
          <w:highlight w:val="none"/>
          <w:lang w:val="en-US" w:eastAsia="zh-CN"/>
        </w:rPr>
        <w:t>2.2021</w:t>
      </w:r>
      <w:r>
        <w:rPr>
          <w:rFonts w:hint="eastAsia" w:ascii="楷体" w:hAnsi="楷体" w:eastAsia="楷体"/>
          <w:color w:val="000000"/>
          <w:highlight w:val="none"/>
        </w:rPr>
        <w:t>年</w:t>
      </w:r>
      <w:r>
        <w:rPr>
          <w:rFonts w:hint="eastAsia" w:ascii="楷体" w:hAnsi="楷体" w:eastAsia="楷体"/>
          <w:color w:val="000000"/>
          <w:highlight w:val="none"/>
          <w:lang w:val="en-US" w:eastAsia="zh-CN"/>
        </w:rPr>
        <w:t>7</w:t>
      </w:r>
      <w:r>
        <w:rPr>
          <w:rFonts w:hint="eastAsia" w:ascii="楷体" w:hAnsi="楷体" w:eastAsia="楷体"/>
          <w:color w:val="000000"/>
          <w:highlight w:val="none"/>
        </w:rPr>
        <w:t>月</w:t>
      </w:r>
      <w:r>
        <w:rPr>
          <w:rFonts w:hint="eastAsia" w:ascii="楷体" w:hAnsi="楷体" w:eastAsia="楷体"/>
          <w:color w:val="000000"/>
          <w:highlight w:val="none"/>
          <w:lang w:val="en-US" w:eastAsia="zh-CN"/>
        </w:rPr>
        <w:t>18</w:t>
      </w:r>
      <w:r>
        <w:rPr>
          <w:rFonts w:hint="eastAsia" w:ascii="楷体" w:hAnsi="楷体" w:eastAsia="楷体"/>
          <w:color w:val="000000"/>
          <w:highlight w:val="none"/>
        </w:rPr>
        <w:t>日,勐海县自然资源局印发《情况说明》载明：2019年西双版纳州勐海县土地</w:t>
      </w:r>
      <w:r>
        <w:rPr>
          <w:rFonts w:hint="eastAsia" w:ascii="楷体" w:hAnsi="楷体" w:eastAsia="楷体" w:cs="Times New Roman"/>
          <w:color w:val="000000"/>
          <w:highlight w:val="none"/>
        </w:rPr>
        <w:t>储备项目（调整）实施方案中涉及的所有地块分别规划为</w:t>
      </w:r>
      <w:r>
        <w:rPr>
          <w:rFonts w:hint="eastAsia" w:ascii="楷体" w:hAnsi="楷体" w:eastAsia="楷体" w:cs="Times New Roman"/>
          <w:color w:val="000000"/>
          <w:highlight w:val="none"/>
          <w:lang w:eastAsia="zh-CN"/>
        </w:rPr>
        <w:t>绿化、二类工业、道路、商业设施、二类居住</w:t>
      </w:r>
      <w:r>
        <w:rPr>
          <w:rFonts w:hint="eastAsia" w:ascii="楷体" w:hAnsi="楷体" w:eastAsia="楷体" w:cs="Times New Roman"/>
          <w:color w:val="000000"/>
          <w:highlight w:val="none"/>
        </w:rPr>
        <w:t>等用地，均符合勐海县</w:t>
      </w:r>
      <w:r>
        <w:rPr>
          <w:rFonts w:hint="eastAsia" w:ascii="楷体" w:hAnsi="楷体" w:eastAsia="楷体"/>
          <w:color w:val="000000"/>
          <w:highlight w:val="none"/>
        </w:rPr>
        <w:t>城乡规划。2019年西双版纳州勐海县土地储备项目（调整）实施方案中涉及的所有地块均规划为</w:t>
      </w:r>
      <w:r>
        <w:rPr>
          <w:rFonts w:hint="eastAsia" w:ascii="楷体" w:hAnsi="楷体" w:eastAsia="楷体"/>
          <w:color w:val="000000"/>
          <w:highlight w:val="none"/>
          <w:lang w:val="en-US" w:eastAsia="zh-CN"/>
        </w:rPr>
        <w:t xml:space="preserve">     </w:t>
      </w:r>
      <w:r>
        <w:rPr>
          <w:rFonts w:hint="eastAsia" w:ascii="楷体" w:hAnsi="楷体" w:eastAsia="楷体"/>
          <w:color w:val="000000"/>
          <w:highlight w:val="none"/>
        </w:rPr>
        <w:t>用地，均符合勐海县土地利用总体规划。经对上述地块进行调查，土地权属清楚，界限无争议，且不存在土地抵押及司法查封等情况。</w:t>
      </w:r>
    </w:p>
    <w:p>
      <w:pPr>
        <w:pStyle w:val="43"/>
        <w:autoSpaceDE w:val="0"/>
        <w:autoSpaceDN w:val="0"/>
        <w:adjustRightInd w:val="0"/>
        <w:spacing w:before="211" w:beforeLines="50" w:after="211" w:afterLines="50" w:line="360" w:lineRule="auto"/>
        <w:ind w:firstLine="480"/>
        <w:jc w:val="both"/>
        <w:rPr>
          <w:rFonts w:hint="default" w:ascii="楷体" w:hAnsi="楷体" w:eastAsia="楷体"/>
          <w:color w:val="000000" w:themeColor="text1"/>
          <w:highlight w:val="none"/>
          <w:lang w:val="en-US" w:eastAsia="zh-CN"/>
          <w14:textFill>
            <w14:solidFill>
              <w14:schemeClr w14:val="tx1"/>
            </w14:solidFill>
          </w14:textFill>
        </w:rPr>
      </w:pPr>
      <w:r>
        <w:rPr>
          <w:rFonts w:hint="eastAsia" w:ascii="楷体" w:hAnsi="楷体" w:eastAsia="楷体"/>
          <w:color w:val="000000" w:themeColor="text1"/>
          <w14:textFill>
            <w14:solidFill>
              <w14:schemeClr w14:val="tx1"/>
            </w14:solidFill>
          </w14:textFill>
        </w:rPr>
        <w:t>本所律师认为:2019年西双版纳州勐海县土地储备项目（调整）已取得本级人民政府批复，相应范围内土地依法纳入土地储备计划。</w:t>
      </w:r>
    </w:p>
    <w:p>
      <w:pPr>
        <w:pStyle w:val="3"/>
        <w:spacing w:before="211" w:after="211"/>
        <w:ind w:firstLine="482" w:firstLineChars="200"/>
        <w:jc w:val="left"/>
        <w:rPr>
          <w:rFonts w:ascii="楷体" w:hAnsi="楷体"/>
          <w:color w:val="000000" w:themeColor="text1"/>
          <w:highlight w:val="none"/>
          <w14:textFill>
            <w14:solidFill>
              <w14:schemeClr w14:val="tx1"/>
            </w14:solidFill>
          </w14:textFill>
        </w:rPr>
      </w:pPr>
      <w:bookmarkStart w:id="19" w:name="_Toc38221199"/>
      <w:bookmarkStart w:id="20" w:name="_Toc2026"/>
      <w:bookmarkStart w:id="21" w:name="_Toc32138"/>
      <w:bookmarkStart w:id="22" w:name="_Toc19981"/>
      <w:r>
        <w:rPr>
          <w:rFonts w:hint="eastAsia"/>
          <w:color w:val="000000" w:themeColor="text1"/>
          <w:sz w:val="24"/>
          <w:szCs w:val="24"/>
          <w:highlight w:val="none"/>
          <w14:textFill>
            <w14:solidFill>
              <w14:schemeClr w14:val="tx1"/>
            </w14:solidFill>
          </w14:textFill>
        </w:rPr>
        <w:t>三、项目收益与融资自求平衡情况</w:t>
      </w:r>
      <w:bookmarkEnd w:id="19"/>
      <w:bookmarkEnd w:id="20"/>
      <w:bookmarkEnd w:id="21"/>
      <w:bookmarkEnd w:id="22"/>
    </w:p>
    <w:p>
      <w:pPr>
        <w:pStyle w:val="43"/>
        <w:autoSpaceDE w:val="0"/>
        <w:autoSpaceDN w:val="0"/>
        <w:adjustRightInd w:val="0"/>
        <w:spacing w:before="211" w:beforeLines="50" w:after="211" w:afterLines="50" w:line="360" w:lineRule="auto"/>
        <w:ind w:firstLine="480"/>
        <w:jc w:val="both"/>
        <w:rPr>
          <w:rFonts w:ascii="楷体" w:hAnsi="楷体" w:eastAsia="楷体"/>
          <w:color w:val="000000"/>
          <w:highlight w:val="none"/>
        </w:rPr>
      </w:pPr>
      <w:r>
        <w:rPr>
          <w:rFonts w:hint="eastAsia" w:ascii="楷体" w:hAnsi="楷体" w:eastAsia="楷体"/>
          <w:bCs/>
          <w:kern w:val="44"/>
          <w:highlight w:val="none"/>
        </w:rPr>
        <w:t>信立会计师事务所出具的《财务评价报告》载明：“基于财政部对地方政府发行项目收益与融资自求平衡的专项债券的要求，并根据当前云南省、版纳州的融资环境，我们认为2019年西双版纳州勐海县土地储备项目专项债券（调整）可以以相较同期银行贷款利率略优惠的融资成本完成资金筹措，为2019年西双版纳州勐海县土地储备项目（调整）提供足够的资金支持，保证2019年西双版纳州勐海县土地储备项目（调整）的顺利实施。项目收入作为后续资金回笼手段，为项目提供了充足、稳定的现金流入，同时，该项目本息保障倍数大于1，充分满足2019年西双版纳州勐海县土地储备项目专项债券（调整）还本付息的要求。”</w:t>
      </w:r>
    </w:p>
    <w:p>
      <w:pPr>
        <w:pStyle w:val="3"/>
        <w:spacing w:before="211" w:after="211"/>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bookmarkStart w:id="23" w:name="_Toc520282145"/>
      <w:bookmarkStart w:id="24" w:name="_Toc38221200"/>
      <w:bookmarkStart w:id="25" w:name="_Toc19219"/>
      <w:bookmarkStart w:id="26" w:name="_Toc2382"/>
      <w:bookmarkStart w:id="27" w:name="_Toc7656"/>
      <w:r>
        <w:rPr>
          <w:rFonts w:hint="eastAsia"/>
          <w:color w:val="000000" w:themeColor="text1"/>
          <w:sz w:val="24"/>
          <w:szCs w:val="24"/>
          <w:highlight w:val="none"/>
          <w14:textFill>
            <w14:solidFill>
              <w14:schemeClr w14:val="tx1"/>
            </w14:solidFill>
          </w14:textFill>
        </w:rPr>
        <w:t>四、中介机构及相关文件</w:t>
      </w:r>
      <w:bookmarkEnd w:id="23"/>
      <w:bookmarkEnd w:id="24"/>
      <w:bookmarkEnd w:id="25"/>
      <w:bookmarkEnd w:id="26"/>
      <w:bookmarkEnd w:id="27"/>
    </w:p>
    <w:p>
      <w:pPr>
        <w:pStyle w:val="43"/>
        <w:autoSpaceDE w:val="0"/>
        <w:autoSpaceDN w:val="0"/>
        <w:adjustRightInd w:val="0"/>
        <w:spacing w:before="211" w:beforeLines="50" w:after="211" w:afterLines="50" w:line="360" w:lineRule="auto"/>
        <w:ind w:firstLine="480" w:firstLineChars="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（一）会计师事务所</w:t>
      </w:r>
    </w:p>
    <w:p>
      <w:pPr>
        <w:pStyle w:val="43"/>
        <w:autoSpaceDE w:val="0"/>
        <w:autoSpaceDN w:val="0"/>
        <w:adjustRightInd w:val="0"/>
        <w:spacing w:before="211" w:beforeLines="50" w:after="211" w:afterLines="50" w:line="360" w:lineRule="auto"/>
        <w:ind w:firstLine="480" w:firstLineChars="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本次项目的《财务评价报告》由云南信立会计师事务所出具。</w:t>
      </w:r>
    </w:p>
    <w:p>
      <w:pPr>
        <w:pStyle w:val="43"/>
        <w:autoSpaceDE w:val="0"/>
        <w:autoSpaceDN w:val="0"/>
        <w:adjustRightInd w:val="0"/>
        <w:spacing w:before="211" w:beforeLines="50" w:after="211" w:afterLines="50" w:line="360" w:lineRule="auto"/>
        <w:ind w:firstLine="480" w:firstLineChars="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信立会计师事务所现持有云南省工商行政管理局于2015年11月30日核发的统一社会信用代码为91530000760408359K的《营业执照》，云南省财政厅于2018年3月6日核发的执业证书编号为53010121、批准执业文号为云财会〔2014〕17号的《会计师事务所执业证书》，信立会计师事务所系依法成立的会计师事务所。</w:t>
      </w:r>
    </w:p>
    <w:p>
      <w:pPr>
        <w:pStyle w:val="43"/>
        <w:wordWrap w:val="0"/>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（二）律师事务所</w:t>
      </w:r>
    </w:p>
    <w:p>
      <w:pPr>
        <w:pStyle w:val="43"/>
        <w:autoSpaceDE w:val="0"/>
        <w:autoSpaceDN w:val="0"/>
        <w:adjustRightInd w:val="0"/>
        <w:spacing w:before="211" w:beforeLines="50" w:after="211" w:afterLines="50" w:line="360" w:lineRule="auto"/>
        <w:ind w:firstLineChars="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本次对投资项目的法律意见书由北京市君泽君（昆明）律师事务所出具。</w:t>
      </w:r>
    </w:p>
    <w:p>
      <w:pPr>
        <w:pStyle w:val="43"/>
        <w:autoSpaceDE w:val="0"/>
        <w:autoSpaceDN w:val="0"/>
        <w:adjustRightInd w:val="0"/>
        <w:spacing w:before="211" w:beforeLines="50" w:after="211" w:afterLines="50" w:line="360" w:lineRule="auto"/>
        <w:ind w:firstLine="480"/>
        <w:jc w:val="both"/>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1.北京市君泽君（昆明）律师事务所现持有云南省司法厅于2020年12月23日核发的《律师事务所分所执业许可证》（统一社会信用代码：31530000MD02494528）,北京市君泽君（昆明）律师事务所具有合法执业资格。</w:t>
      </w:r>
    </w:p>
    <w:p>
      <w:pPr>
        <w:spacing w:before="211" w:beforeLines="50" w:after="211" w:afterLines="50" w:line="360" w:lineRule="auto"/>
        <w:ind w:firstLine="480"/>
        <w:jc w:val="both"/>
        <w:rPr>
          <w:rFonts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2.本法律意见书由北京市君泽君（昆明）律师事务所普红梅律师（律师执业证号：15301200511351422）、徐杰律师（律师执业证号：15301201810050619）作为签署律师，其均持有云南省司法厅核发的律师执业证，且均已通过云南省昆明市司法局20</w:t>
      </w:r>
      <w:r>
        <w:rPr>
          <w:rFonts w:ascii="楷体" w:hAnsi="楷体" w:eastAsia="楷体"/>
          <w:color w:val="000000" w:themeColor="text1"/>
          <w:highlight w:val="none"/>
          <w14:textFill>
            <w14:solidFill>
              <w14:schemeClr w14:val="tx1"/>
            </w14:solidFill>
          </w14:textFill>
        </w:rPr>
        <w:t>20</w:t>
      </w:r>
      <w:r>
        <w:rPr>
          <w:rFonts w:hint="eastAsia" w:ascii="楷体" w:hAnsi="楷体" w:eastAsia="楷体"/>
          <w:color w:val="000000" w:themeColor="text1"/>
          <w:highlight w:val="none"/>
          <w14:textFill>
            <w14:solidFill>
              <w14:schemeClr w14:val="tx1"/>
            </w14:solidFill>
          </w14:textFill>
        </w:rPr>
        <w:t>年度考核。</w:t>
      </w:r>
    </w:p>
    <w:p>
      <w:pPr>
        <w:keepNext/>
        <w:keepLines/>
        <w:spacing w:before="211" w:beforeLines="50" w:after="211" w:afterLines="50" w:line="360" w:lineRule="auto"/>
        <w:ind w:firstLine="480" w:firstLineChars="200"/>
        <w:outlineLvl w:val="0"/>
        <w:rPr>
          <w:rFonts w:ascii="楷体" w:hAnsi="楷体" w:eastAsia="楷体"/>
          <w:color w:val="000000" w:themeColor="text1"/>
          <w:highlight w:val="none"/>
          <w14:textFill>
            <w14:solidFill>
              <w14:schemeClr w14:val="tx1"/>
            </w14:solidFill>
          </w14:textFill>
        </w:rPr>
      </w:pPr>
      <w:r>
        <w:rPr>
          <w:rFonts w:hint="eastAsia" w:ascii="楷体" w:hAnsi="楷体" w:eastAsia="楷体"/>
          <w:color w:val="000000" w:themeColor="text1"/>
          <w:highlight w:val="none"/>
          <w14:textFill>
            <w14:solidFill>
              <w14:schemeClr w14:val="tx1"/>
            </w14:solidFill>
          </w14:textFill>
        </w:rPr>
        <w:t>综上所述，会计师事务所、律师事务所均是依法成立，合法存续的中介服务机构，具备相应的从业资质。</w:t>
      </w:r>
    </w:p>
    <w:p>
      <w:pPr>
        <w:pStyle w:val="3"/>
        <w:spacing w:before="211" w:after="211"/>
        <w:ind w:firstLine="482" w:firstLineChars="200"/>
        <w:jc w:val="left"/>
        <w:rPr>
          <w:rFonts w:hint="eastAsia"/>
          <w:b/>
          <w:bCs/>
          <w:color w:val="000000" w:themeColor="text1"/>
          <w:sz w:val="24"/>
          <w:szCs w:val="24"/>
          <w:highlight w:val="none"/>
          <w14:textFill>
            <w14:solidFill>
              <w14:schemeClr w14:val="tx1"/>
            </w14:solidFill>
          </w14:textFill>
        </w:rPr>
      </w:pPr>
      <w:bookmarkStart w:id="28" w:name="_Toc19742"/>
      <w:bookmarkStart w:id="29" w:name="_Toc38221201"/>
      <w:bookmarkStart w:id="30" w:name="_Toc521355887"/>
      <w:bookmarkStart w:id="31" w:name="_Toc524464656"/>
      <w:bookmarkStart w:id="32" w:name="_Toc26509"/>
      <w:r>
        <w:rPr>
          <w:rFonts w:hint="eastAsia"/>
          <w:color w:val="000000" w:themeColor="text1"/>
          <w:sz w:val="24"/>
          <w:szCs w:val="24"/>
          <w:highlight w:val="none"/>
          <w14:textFill>
            <w14:solidFill>
              <w14:schemeClr w14:val="tx1"/>
            </w14:solidFill>
          </w14:textFill>
        </w:rPr>
        <w:t>五、风险因</w:t>
      </w:r>
      <w:r>
        <w:rPr>
          <w:rFonts w:hint="eastAsia"/>
          <w:b/>
          <w:bCs/>
          <w:color w:val="000000" w:themeColor="text1"/>
          <w:sz w:val="24"/>
          <w:szCs w:val="24"/>
          <w:highlight w:val="none"/>
          <w14:textFill>
            <w14:solidFill>
              <w14:schemeClr w14:val="tx1"/>
            </w14:solidFill>
          </w14:textFill>
        </w:rPr>
        <w:t>素</w:t>
      </w:r>
      <w:bookmarkEnd w:id="28"/>
      <w:bookmarkEnd w:id="29"/>
      <w:bookmarkEnd w:id="30"/>
      <w:bookmarkEnd w:id="31"/>
      <w:bookmarkEnd w:id="32"/>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1.影响项目进度或正常运营的风险及控制措施</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（1）征地拆迁风险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征地拆迁风险：在土地征收及拆迁安置的过程中，由于收储地块对涉地单位、个人的重要性不言而喻。相关单位、个人对征地、拆迁及安置方案的利益诉求不尽相同，如果征地补偿条件不能满足被征地单位、个人的意愿，征地补偿资金到位不及时，将导致征地、拆迁周期不确定的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风险控制措施：要求土地储备机构加强前期调查，合理确定征地范围，坚持“公正、公平、公开”，依法做好征地拆迁补偿工作，合理制定征地拆迁工作方案，加强征收政策的宣传，做好征地前、征地中及征地后的全过程协调工作，做好征地补偿资金的使用和监管工作，坚持信息公开和公众参与，建立良好的社会氛围，降低征地、拆迁难度，避免这一社会因素对本项目建设产生不利影响。</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（2）资金落实情况风险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资金落实情况风险：工程征地拆迁的顺利进行必须以足够的资金作保障。如果征地拆迁过程中土地储备机构资本金资金不能及时到账，专项债券筹集资金到位不及时，将会影响征地拆迁进度。</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风险控制措施：土地储备资金收支管理严格执行财政部、自然资源部关于土地储备资金财务管理的规定，土地储备资金通过政府预算安排，实行专款专用，保障资本金资金及时足额到账。土地储备机构所需的日常费用与土地储备资金实行分账核算，不得相互混用。土地储备专项债券资金管理执行财政部、自然资源部有关地方政府土地储备专项债券管理的规定。</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2.影响项目收益的风险及控制措施</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（1）经营风险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经营风险：经营风险是指生产经营的不确定性带来的风险。如果项目实施机构在土地储备的过程中出现经营决策、资金筹措及使用、操作管理等失误、不当或错误，将导致项目实际支出增加，从而影响项目偿债能力。</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风险控制措施：要求项目实施机构进一步加强管理，提高整体运营实力，建立健全内部管理制度和风险控制制度，加强优秀管理人才的引进，提高运营效率，加强项目运营及资金管理，压缩不合理支出，提高资金使用效率，保证还本付息资金。</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（2）市场风险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市场风险：由于土地储备项目具有一定的房地产开发项目经营特征，土地的拍卖和挂牌交易属于市场化行为，其涨落是随市场波动而起伏的，如遇房地产市场不景气或者土地市场供应超过市场需要，导致土地出让收入不及预期，将影响项目整体收益，对债券还本付息产生影响。</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风险控制措施：要求项目实施机构密切关注项目所在区域房地产市场及土地市场开发经营情况，在充分研究国家宏观经济政策导向的基础上，依据当地国民经济和社会发展规划、土地利用总体规划、片区控制性详细规划等合理确定土地储备规模和结构。因储备土地未能按计划出让、土地出让收入暂时难以实现，不能偿还到期债券本金时，可发行土地储备专项债券周转偿还，项目收入实现后予以归还。</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（3）财务风险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财务风险：土地储备项目需要大量的资金，如征地补偿费用、房屋拆迁费用。由于项目实施周期较长，如果在项目实施过程中，受市场因素影响，项目征地拆迁成本上涨，将导致项目施工成本增加，财务负担加重，进而影响项目实施进度，以及项目实施期内专项债券的利息兑付，因此面临一定财务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风险控制措施：项目可行性研究报告及专项债券实施方案编制过程中，在测算项目总投资时已考虑相关风险。同时，在项目实施过程中，加强项目征地拆迁预算管理，尽可能控制成本。如在项目建设过程中由于征地拆迁成本增加，导致财务风险出现，勐海县国土资源收购储备中心将通过统筹安排勐海县土地储备资金，以调整增加对应项目资本金的方式，确保项目顺利实施以及项目实施期限内所发专项债券利息的全额兑付。</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（4）管理风险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管理风险：如果土地储备项目管理制度不健全、项目管理能力不足或项目管理过程中出现重大失误，将会对土地储备项目的征地拆迁进度、项目现金流及收益产生重大影响。</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风险控制措施：要求项目实施机构在本期债券存续期内进一步完善项目管理机制，对资金的使用情况进行实时监控，以确保项目实际投资控制在预算范围内。</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3.影响融资平衡结果的风险及控制措施</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（1）投资测算不准确风险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投资测算不准确风险：土地储备项目的投资测算是可行性研究工作中的一项重要内容，测算结果的准确性对项目决策的影响至关重要。如果投资估算编制人员技术水平不足，测算方法不正确，取费标准不合理，出现估算漏项或变更现象，使得项目计划投资与实际投资差异加大，将导致项目达不到预期收益。</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风险控制措施：对项目进行投资估算时，应尽可能全面考虑项目的征地拆迁变化状况资金的时间价值、征地拆迁过程中可能遇到的各种不利因素及其对项目投资的影响等；投资估算数据应基本符合实际并留有余地，注意不能过分夸大投资，也不能把效益估算得过于乐观，应使投资估算能够真正起到控制项目总投资的作用；投资估算的编制要有理有据、内容详实，各费用数据要真实可靠，选择计算方法要科学合理。</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（2）利率波动风险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利率波动风险：在专项债券存续期内，国际、国内宏观经济环境的变化，国家经济政策变动等因素会引起债务资本市场利率的波动，市场利率波动将会对本项目的财务成本产生一定影响，进而影响项目投资收益的平衡。</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风险控制措施：要求项目单位合理安排债券发行金额和债券期限，做好债券的期限配比、还款计划和资金准备。密切关注宏观经济市场，充分与市场机构沟通，选择合适的发行窗口，降低财务成本，保证项目收益与融资平衡。</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（3）存续债券置换不畅风险</w:t>
      </w:r>
    </w:p>
    <w:p>
      <w:pPr>
        <w:pStyle w:val="3"/>
        <w:spacing w:before="211" w:after="211"/>
        <w:ind w:firstLine="480" w:firstLineChars="200"/>
        <w:jc w:val="left"/>
        <w:rPr>
          <w:rFonts w:hint="eastAsia"/>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存续债券置换不畅风险：在当前我国经济下行压力加大、地方财政收入增速持续放缓的形势下，发行地方债券置换存量债务，有利于保障在建项目融资和资金链不断裂，腾出部分资金支持重点项目建设，既促进稳增长、调结构、惠民生，又有利于化解财政金融风险。如果存续债券置换不畅，在置换债券到期后地方政府仍没有偿还能力，将存在系统性风险爆发的可能。</w:t>
      </w:r>
    </w:p>
    <w:p>
      <w:pPr>
        <w:pStyle w:val="3"/>
        <w:spacing w:before="211" w:after="211"/>
        <w:ind w:firstLine="480" w:firstLineChars="200"/>
        <w:jc w:val="left"/>
        <w:rPr>
          <w:rFonts w:ascii="楷体" w:hAnsi="楷体" w:cs="宋体"/>
          <w:b w:val="0"/>
          <w:bCs w:val="0"/>
          <w:color w:val="000000" w:themeColor="text1"/>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风险控制措施：通过限额管理、总量控制的措施，化解地方债务风险，让地方债务总量在可控范围之内。通过长期负债与新增负债，置换短期负债、存量负债，借新还旧等措施，延缓地方债务还款压力，化解地方债务风险。为了确保不发生地方债务违约事项，从谨慎性原则出发，提取偿债准备金，筑牢最后一道防范地方债务风险的堤坝。</w:t>
      </w:r>
    </w:p>
    <w:p>
      <w:pPr>
        <w:pStyle w:val="23"/>
        <w:rPr>
          <w:rFonts w:ascii="楷体" w:hAnsi="楷体" w:eastAsia="楷体"/>
          <w:color w:val="000000" w:themeColor="text1"/>
          <w:kern w:val="44"/>
          <w:highlight w:val="none"/>
          <w14:textFill>
            <w14:solidFill>
              <w14:schemeClr w14:val="tx1"/>
            </w14:solidFill>
          </w14:textFill>
        </w:rPr>
      </w:pPr>
    </w:p>
    <w:p>
      <w:pPr>
        <w:rPr>
          <w:rFonts w:ascii="楷体" w:hAnsi="楷体" w:eastAsia="楷体"/>
          <w:color w:val="000000" w:themeColor="text1"/>
          <w:kern w:val="44"/>
          <w:highlight w:val="none"/>
          <w14:textFill>
            <w14:solidFill>
              <w14:schemeClr w14:val="tx1"/>
            </w14:solidFill>
          </w14:textFill>
        </w:rPr>
      </w:pPr>
    </w:p>
    <w:p>
      <w:pPr>
        <w:pStyle w:val="2"/>
        <w:rPr>
          <w:rFonts w:ascii="楷体" w:hAnsi="楷体" w:eastAsia="楷体"/>
          <w:color w:val="000000" w:themeColor="text1"/>
          <w:kern w:val="44"/>
          <w:highlight w:val="none"/>
          <w14:textFill>
            <w14:solidFill>
              <w14:schemeClr w14:val="tx1"/>
            </w14:solidFill>
          </w14:textFill>
        </w:rPr>
      </w:pPr>
    </w:p>
    <w:p>
      <w:pPr>
        <w:pStyle w:val="2"/>
        <w:ind w:left="0" w:leftChars="0" w:firstLine="0" w:firstLineChars="0"/>
      </w:pPr>
    </w:p>
    <w:p>
      <w:pPr>
        <w:pStyle w:val="23"/>
        <w:rPr>
          <w:rFonts w:ascii="楷体" w:hAnsi="楷体" w:eastAsia="楷体"/>
          <w:color w:val="000000" w:themeColor="text1"/>
          <w:kern w:val="44"/>
          <w:highlight w:val="none"/>
          <w14:textFill>
            <w14:solidFill>
              <w14:schemeClr w14:val="tx1"/>
            </w14:solidFill>
          </w14:textFill>
        </w:rPr>
      </w:pPr>
      <w:bookmarkStart w:id="33" w:name="_Toc8046"/>
      <w:r>
        <w:rPr>
          <w:rFonts w:hint="eastAsia" w:ascii="楷体" w:hAnsi="楷体" w:eastAsia="楷体"/>
          <w:color w:val="000000" w:themeColor="text1"/>
          <w:kern w:val="44"/>
          <w:highlight w:val="none"/>
          <w14:textFill>
            <w14:solidFill>
              <w14:schemeClr w14:val="tx1"/>
            </w14:solidFill>
          </w14:textFill>
        </w:rPr>
        <w:t>第三部分 结 论</w:t>
      </w:r>
      <w:bookmarkEnd w:id="33"/>
    </w:p>
    <w:p>
      <w:pPr>
        <w:pStyle w:val="43"/>
        <w:widowControl w:val="0"/>
        <w:adjustRightInd w:val="0"/>
        <w:spacing w:line="360" w:lineRule="auto"/>
        <w:ind w:firstLine="480"/>
        <w:jc w:val="both"/>
        <w:rPr>
          <w:rFonts w:ascii="楷体" w:hAnsi="楷体" w:eastAsia="楷体"/>
          <w:bCs/>
          <w:color w:val="000000" w:themeColor="text1"/>
          <w:kern w:val="44"/>
          <w:highlight w:val="none"/>
          <w14:textFill>
            <w14:solidFill>
              <w14:schemeClr w14:val="tx1"/>
            </w14:solidFill>
          </w14:textFill>
        </w:rPr>
      </w:pPr>
      <w:r>
        <w:rPr>
          <w:rFonts w:hint="eastAsia" w:ascii="楷体" w:hAnsi="楷体" w:eastAsia="楷体"/>
          <w:bCs/>
          <w:color w:val="000000" w:themeColor="text1"/>
          <w:kern w:val="44"/>
          <w:highlight w:val="none"/>
          <w14:textFill>
            <w14:solidFill>
              <w14:schemeClr w14:val="tx1"/>
            </w14:solidFill>
          </w14:textFill>
        </w:rPr>
        <w:t>截至本法律意见书出具之日，本所律师认为：</w:t>
      </w:r>
    </w:p>
    <w:p>
      <w:pPr>
        <w:autoSpaceDE w:val="0"/>
        <w:autoSpaceDN w:val="0"/>
        <w:adjustRightInd w:val="0"/>
        <w:spacing w:before="211" w:beforeLines="50" w:after="211" w:afterLines="50" w:line="360" w:lineRule="auto"/>
        <w:ind w:firstLine="480"/>
        <w:jc w:val="both"/>
        <w:rPr>
          <w:rFonts w:eastAsia="楷体"/>
          <w:color w:val="000000"/>
        </w:rPr>
      </w:pPr>
      <w:r>
        <w:rPr>
          <w:rFonts w:hint="eastAsia" w:eastAsia="楷体"/>
          <w:color w:val="000000"/>
        </w:rPr>
        <w:t>一、</w:t>
      </w:r>
      <w:r>
        <w:rPr>
          <w:rFonts w:hint="eastAsia" w:ascii="楷体" w:hAnsi="楷体" w:eastAsia="楷体" w:cs="楷体"/>
          <w:kern w:val="2"/>
        </w:rPr>
        <w:t>勐海县国土资源收购储备中心</w:t>
      </w:r>
      <w:r>
        <w:rPr>
          <w:rFonts w:hint="eastAsia" w:eastAsia="楷体"/>
          <w:color w:val="000000"/>
        </w:rPr>
        <w:t>系在中国境内依法设立、合法存续的事业单位法人，且已被纳入自然资源部土地储备机构名录，依法具备土地储备的实施主体资质。</w:t>
      </w:r>
    </w:p>
    <w:p>
      <w:pPr>
        <w:pStyle w:val="43"/>
        <w:autoSpaceDE w:val="0"/>
        <w:autoSpaceDN w:val="0"/>
        <w:adjustRightInd w:val="0"/>
        <w:spacing w:before="211" w:beforeLines="50" w:after="211" w:afterLines="50" w:line="360" w:lineRule="auto"/>
        <w:ind w:firstLine="480" w:firstLineChars="0"/>
        <w:jc w:val="both"/>
        <w:rPr>
          <w:rFonts w:ascii="楷体" w:hAnsi="楷体" w:eastAsia="楷体"/>
          <w:color w:val="000000"/>
        </w:rPr>
      </w:pPr>
      <w:r>
        <w:rPr>
          <w:rFonts w:hint="eastAsia" w:eastAsia="楷体"/>
          <w:color w:val="000000"/>
        </w:rPr>
        <w:t>二、</w:t>
      </w:r>
      <w:r>
        <w:rPr>
          <w:rFonts w:hint="eastAsia" w:ascii="楷体" w:hAnsi="楷体" w:eastAsia="楷体"/>
          <w:color w:val="000000"/>
        </w:rPr>
        <w:t>专项债券对应的投资项目已取得纳入土地储备计划批复文件，项目符合产业政策及地区发展规划。</w:t>
      </w:r>
    </w:p>
    <w:p>
      <w:pPr>
        <w:pStyle w:val="43"/>
        <w:widowControl w:val="0"/>
        <w:adjustRightInd w:val="0"/>
        <w:spacing w:line="360" w:lineRule="auto"/>
        <w:ind w:firstLine="480"/>
        <w:jc w:val="both"/>
        <w:rPr>
          <w:rFonts w:ascii="楷体" w:hAnsi="楷体" w:eastAsia="楷体"/>
          <w:bCs/>
          <w:kern w:val="44"/>
          <w:highlight w:val="none"/>
        </w:rPr>
      </w:pPr>
      <w:r>
        <w:rPr>
          <w:rFonts w:hint="eastAsia" w:ascii="楷体" w:hAnsi="楷体" w:eastAsia="楷体"/>
          <w:bCs/>
          <w:kern w:val="44"/>
          <w:highlight w:val="none"/>
        </w:rPr>
        <w:t>三、经会计师事务所出具的《财务评价报告》确认，项目具备收益与融资自求平衡的能力及偿还能力。</w:t>
      </w:r>
    </w:p>
    <w:p>
      <w:pPr>
        <w:pStyle w:val="43"/>
        <w:widowControl w:val="0"/>
        <w:adjustRightInd w:val="0"/>
        <w:spacing w:line="360" w:lineRule="auto"/>
        <w:ind w:firstLine="480"/>
        <w:jc w:val="both"/>
        <w:rPr>
          <w:rFonts w:ascii="楷体" w:hAnsi="楷体" w:eastAsia="楷体"/>
          <w:bCs/>
          <w:color w:val="000000" w:themeColor="text1"/>
          <w:kern w:val="44"/>
          <w:highlight w:val="none"/>
          <w14:textFill>
            <w14:solidFill>
              <w14:schemeClr w14:val="tx1"/>
            </w14:solidFill>
          </w14:textFill>
        </w:rPr>
      </w:pPr>
      <w:r>
        <w:rPr>
          <w:rFonts w:hint="eastAsia" w:ascii="楷体" w:hAnsi="楷体" w:eastAsia="楷体"/>
          <w:bCs/>
          <w:color w:val="000000" w:themeColor="text1"/>
          <w:kern w:val="44"/>
          <w:highlight w:val="none"/>
          <w14:textFill>
            <w14:solidFill>
              <w14:schemeClr w14:val="tx1"/>
            </w14:solidFill>
          </w14:textFill>
        </w:rPr>
        <w:t>四、会计师事务所、律师事务所均是依法成立，合法存续的中介服务机构，具备相应的从业资质。</w:t>
      </w:r>
    </w:p>
    <w:p>
      <w:pPr>
        <w:pStyle w:val="43"/>
        <w:widowControl w:val="0"/>
        <w:adjustRightInd w:val="0"/>
        <w:spacing w:line="360" w:lineRule="auto"/>
        <w:ind w:firstLine="480"/>
        <w:jc w:val="both"/>
        <w:rPr>
          <w:rFonts w:ascii="楷体" w:hAnsi="楷体" w:eastAsia="楷体"/>
          <w:bCs/>
          <w:color w:val="000000" w:themeColor="text1"/>
          <w:kern w:val="44"/>
          <w:highlight w:val="none"/>
          <w14:textFill>
            <w14:solidFill>
              <w14:schemeClr w14:val="tx1"/>
            </w14:solidFill>
          </w14:textFill>
        </w:rPr>
      </w:pPr>
      <w:r>
        <w:rPr>
          <w:rFonts w:ascii="楷体" w:hAnsi="楷体" w:eastAsia="楷体"/>
          <w:bCs/>
          <w:color w:val="000000" w:themeColor="text1"/>
          <w:kern w:val="44"/>
          <w:highlight w:val="none"/>
          <w14:textFill>
            <w14:solidFill>
              <w14:schemeClr w14:val="tx1"/>
            </w14:solidFill>
          </w14:textFill>
        </w:rPr>
        <w:t>本法律意见书的标题仅为方便查阅而使用，不得用于解释本法律意见。本所仅为</w:t>
      </w:r>
      <w:r>
        <w:rPr>
          <w:rFonts w:hint="eastAsia" w:ascii="楷体" w:hAnsi="楷体" w:eastAsia="楷体"/>
          <w:bCs/>
          <w:color w:val="000000" w:themeColor="text1"/>
          <w:kern w:val="44"/>
          <w:highlight w:val="none"/>
          <w14:textFill>
            <w14:solidFill>
              <w14:schemeClr w14:val="tx1"/>
            </w14:solidFill>
          </w14:textFill>
        </w:rPr>
        <w:t>专项债券对应投资项目</w:t>
      </w:r>
      <w:r>
        <w:rPr>
          <w:rFonts w:ascii="楷体" w:hAnsi="楷体" w:eastAsia="楷体"/>
          <w:bCs/>
          <w:color w:val="000000" w:themeColor="text1"/>
          <w:kern w:val="44"/>
          <w:highlight w:val="none"/>
          <w14:textFill>
            <w14:solidFill>
              <w14:schemeClr w14:val="tx1"/>
            </w14:solidFill>
          </w14:textFill>
        </w:rPr>
        <w:t>而出具本法律意见书。本法律意见书应当作为一个整体理解，不得单独摘引使用。未经本所事先书面同意，不得被用于任何其他目的。</w:t>
      </w:r>
    </w:p>
    <w:p>
      <w:pPr>
        <w:pStyle w:val="43"/>
        <w:widowControl w:val="0"/>
        <w:adjustRightInd w:val="0"/>
        <w:spacing w:line="360" w:lineRule="auto"/>
        <w:ind w:firstLine="480"/>
        <w:jc w:val="both"/>
        <w:rPr>
          <w:rFonts w:ascii="楷体" w:hAnsi="楷体" w:eastAsia="楷体"/>
          <w:bCs/>
          <w:color w:val="000000" w:themeColor="text1"/>
          <w:kern w:val="44"/>
          <w:highlight w:val="none"/>
          <w14:textFill>
            <w14:solidFill>
              <w14:schemeClr w14:val="tx1"/>
            </w14:solidFill>
          </w14:textFill>
        </w:rPr>
      </w:pPr>
      <w:r>
        <w:rPr>
          <w:rFonts w:ascii="楷体" w:hAnsi="楷体" w:eastAsia="楷体"/>
          <w:bCs/>
          <w:color w:val="000000" w:themeColor="text1"/>
          <w:kern w:val="44"/>
          <w:highlight w:val="none"/>
          <w14:textFill>
            <w14:solidFill>
              <w14:schemeClr w14:val="tx1"/>
            </w14:solidFill>
          </w14:textFill>
        </w:rPr>
        <w:t>本法律意见书由</w:t>
      </w:r>
      <w:r>
        <w:rPr>
          <w:rFonts w:hint="eastAsia" w:ascii="楷体" w:hAnsi="楷体" w:eastAsia="楷体"/>
          <w:bCs/>
          <w:color w:val="000000" w:themeColor="text1"/>
          <w:kern w:val="44"/>
          <w:highlight w:val="none"/>
          <w14:textFill>
            <w14:solidFill>
              <w14:schemeClr w14:val="tx1"/>
            </w14:solidFill>
          </w14:textFill>
        </w:rPr>
        <w:t>北京市君泽君（昆明）律师事务所</w:t>
      </w:r>
      <w:r>
        <w:rPr>
          <w:rFonts w:ascii="楷体" w:hAnsi="楷体" w:eastAsia="楷体"/>
          <w:bCs/>
          <w:color w:val="000000" w:themeColor="text1"/>
          <w:kern w:val="44"/>
          <w:highlight w:val="none"/>
          <w14:textFill>
            <w14:solidFill>
              <w14:schemeClr w14:val="tx1"/>
            </w14:solidFill>
          </w14:textFill>
        </w:rPr>
        <w:t>出具，经办律师为</w:t>
      </w:r>
      <w:r>
        <w:rPr>
          <w:rFonts w:hint="eastAsia" w:ascii="楷体" w:hAnsi="楷体" w:eastAsia="楷体"/>
          <w:bCs/>
          <w:color w:val="000000" w:themeColor="text1"/>
          <w:kern w:val="44"/>
          <w:highlight w:val="none"/>
          <w14:textFill>
            <w14:solidFill>
              <w14:schemeClr w14:val="tx1"/>
            </w14:solidFill>
          </w14:textFill>
        </w:rPr>
        <w:t>普红梅律师（律师执业证号：15301200511351422）、徐杰律师（律师执业证号：15301201810050619）</w:t>
      </w:r>
      <w:r>
        <w:rPr>
          <w:rFonts w:ascii="楷体" w:hAnsi="楷体" w:eastAsia="楷体"/>
          <w:bCs/>
          <w:color w:val="000000" w:themeColor="text1"/>
          <w:kern w:val="44"/>
          <w:highlight w:val="none"/>
          <w14:textFill>
            <w14:solidFill>
              <w14:schemeClr w14:val="tx1"/>
            </w14:solidFill>
          </w14:textFill>
        </w:rPr>
        <w:t>。</w:t>
      </w:r>
    </w:p>
    <w:p>
      <w:pPr>
        <w:pStyle w:val="43"/>
        <w:widowControl w:val="0"/>
        <w:adjustRightInd w:val="0"/>
        <w:spacing w:line="360" w:lineRule="auto"/>
        <w:ind w:firstLine="480"/>
        <w:jc w:val="both"/>
        <w:rPr>
          <w:rFonts w:ascii="楷体" w:hAnsi="楷体" w:eastAsia="楷体"/>
          <w:bCs/>
          <w:color w:val="000000" w:themeColor="text1"/>
          <w:kern w:val="44"/>
          <w:highlight w:val="none"/>
          <w14:textFill>
            <w14:solidFill>
              <w14:schemeClr w14:val="tx1"/>
            </w14:solidFill>
          </w14:textFill>
        </w:rPr>
      </w:pPr>
      <w:r>
        <w:rPr>
          <w:rFonts w:ascii="楷体" w:hAnsi="楷体" w:eastAsia="楷体"/>
          <w:bCs/>
          <w:color w:val="000000" w:themeColor="text1"/>
          <w:kern w:val="44"/>
          <w:highlight w:val="none"/>
          <w14:textFill>
            <w14:solidFill>
              <w14:schemeClr w14:val="tx1"/>
            </w14:solidFill>
          </w14:textFill>
        </w:rPr>
        <w:t>本法律意见书正本一式</w:t>
      </w:r>
      <w:r>
        <w:rPr>
          <w:rFonts w:hint="eastAsia" w:ascii="楷体" w:hAnsi="楷体" w:eastAsia="楷体"/>
          <w:bCs/>
          <w:color w:val="000000" w:themeColor="text1"/>
          <w:kern w:val="44"/>
          <w:highlight w:val="none"/>
          <w14:textFill>
            <w14:solidFill>
              <w14:schemeClr w14:val="tx1"/>
            </w14:solidFill>
          </w14:textFill>
        </w:rPr>
        <w:t>肆</w:t>
      </w:r>
      <w:r>
        <w:rPr>
          <w:rFonts w:ascii="楷体" w:hAnsi="楷体" w:eastAsia="楷体"/>
          <w:bCs/>
          <w:color w:val="000000" w:themeColor="text1"/>
          <w:kern w:val="44"/>
          <w:highlight w:val="none"/>
          <w14:textFill>
            <w14:solidFill>
              <w14:schemeClr w14:val="tx1"/>
            </w14:solidFill>
          </w14:textFill>
        </w:rPr>
        <w:t>份，无副本。经本所经办律师签字并加盖本所公章后生效。</w:t>
      </w:r>
    </w:p>
    <w:p>
      <w:pPr>
        <w:pStyle w:val="43"/>
        <w:widowControl w:val="0"/>
        <w:adjustRightInd w:val="0"/>
        <w:spacing w:line="360" w:lineRule="auto"/>
        <w:ind w:firstLine="480"/>
        <w:jc w:val="both"/>
        <w:rPr>
          <w:rFonts w:ascii="楷体" w:hAnsi="楷体" w:eastAsia="楷体"/>
          <w:bCs/>
          <w:color w:val="000000" w:themeColor="text1"/>
          <w:kern w:val="44"/>
          <w:highlight w:val="none"/>
          <w14:textFill>
            <w14:solidFill>
              <w14:schemeClr w14:val="tx1"/>
            </w14:solidFill>
          </w14:textFill>
        </w:rPr>
      </w:pPr>
      <w:r>
        <w:rPr>
          <w:rFonts w:hint="eastAsia" w:ascii="楷体" w:hAnsi="楷体" w:eastAsia="楷体"/>
          <w:bCs/>
          <w:color w:val="000000" w:themeColor="text1"/>
          <w:kern w:val="44"/>
          <w:highlight w:val="none"/>
          <w14:textFill>
            <w14:solidFill>
              <w14:schemeClr w14:val="tx1"/>
            </w14:solidFill>
          </w14:textFill>
        </w:rPr>
        <w:t>（以下无正文）</w:t>
      </w:r>
    </w:p>
    <w:p>
      <w:pPr>
        <w:rPr>
          <w:rFonts w:ascii="楷体" w:hAnsi="楷体" w:eastAsia="楷体" w:cs="楷体"/>
          <w:b/>
          <w:bCs/>
          <w:color w:val="000000" w:themeColor="text1"/>
          <w:highlight w:val="none"/>
          <w14:textFill>
            <w14:solidFill>
              <w14:schemeClr w14:val="tx1"/>
            </w14:solidFill>
          </w14:textFill>
        </w:rPr>
      </w:pPr>
    </w:p>
    <w:p>
      <w:pPr>
        <w:pStyle w:val="43"/>
        <w:widowControl w:val="0"/>
        <w:adjustRightInd w:val="0"/>
        <w:spacing w:line="360" w:lineRule="auto"/>
        <w:ind w:firstLine="0" w:firstLineChars="0"/>
        <w:jc w:val="both"/>
        <w:rPr>
          <w:rFonts w:ascii="楷体" w:hAnsi="楷体" w:eastAsia="楷体" w:cs="楷体"/>
          <w:b/>
          <w:bCs/>
          <w:color w:val="000000" w:themeColor="text1"/>
          <w:kern w:val="44"/>
          <w:highlight w:val="none"/>
          <w14:textFill>
            <w14:solidFill>
              <w14:schemeClr w14:val="tx1"/>
            </w14:solidFill>
          </w14:textFill>
        </w:rPr>
      </w:pPr>
      <w:r>
        <w:rPr>
          <w:rFonts w:hint="eastAsia" w:ascii="楷体" w:hAnsi="楷体" w:eastAsia="楷体" w:cs="楷体"/>
          <w:b/>
          <w:bCs/>
          <w:color w:val="000000" w:themeColor="text1"/>
          <w:highlight w:val="none"/>
          <w14:textFill>
            <w14:solidFill>
              <w14:schemeClr w14:val="tx1"/>
            </w14:solidFill>
          </w14:textFill>
        </w:rPr>
        <w:t>【本页无正文，为《法律意见书》之签字盖章页】</w:t>
      </w:r>
    </w:p>
    <w:p>
      <w:pPr>
        <w:pStyle w:val="41"/>
        <w:spacing w:before="211" w:beforeLines="50" w:after="211" w:afterLines="50" w:line="360" w:lineRule="auto"/>
        <w:rPr>
          <w:rFonts w:hAnsi="楷体"/>
          <w:color w:val="000000" w:themeColor="text1"/>
          <w:highlight w:val="none"/>
          <w14:textFill>
            <w14:solidFill>
              <w14:schemeClr w14:val="tx1"/>
            </w14:solidFill>
          </w14:textFill>
        </w:rPr>
      </w:pPr>
    </w:p>
    <w:p>
      <w:pPr>
        <w:widowControl w:val="0"/>
        <w:spacing w:before="211" w:beforeLines="50" w:after="211" w:afterLines="50" w:line="360" w:lineRule="auto"/>
        <w:ind w:firstLine="470"/>
        <w:rPr>
          <w:rFonts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经办律师：</w:t>
      </w:r>
    </w:p>
    <w:p>
      <w:pPr>
        <w:widowControl w:val="0"/>
        <w:spacing w:before="211" w:beforeLines="50" w:after="211" w:afterLines="50" w:line="360" w:lineRule="auto"/>
        <w:ind w:firstLine="480"/>
        <w:rPr>
          <w:rFonts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普红梅     （律师执业证号：15301200511351422）</w:t>
      </w:r>
    </w:p>
    <w:p>
      <w:pPr>
        <w:widowControl w:val="0"/>
        <w:spacing w:before="211" w:beforeLines="50" w:after="211" w:afterLines="50" w:line="360" w:lineRule="auto"/>
        <w:ind w:firstLine="470"/>
        <w:rPr>
          <w:rFonts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经办律师：</w:t>
      </w:r>
    </w:p>
    <w:p>
      <w:pPr>
        <w:widowControl w:val="0"/>
        <w:spacing w:before="211" w:beforeLines="50" w:after="211" w:afterLines="50" w:line="360" w:lineRule="auto"/>
        <w:ind w:firstLine="480"/>
        <w:rPr>
          <w:rFonts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徐杰       （律师执业证号：15301201810050619）</w:t>
      </w:r>
    </w:p>
    <w:p>
      <w:pPr>
        <w:pStyle w:val="41"/>
        <w:spacing w:before="211" w:beforeLines="50" w:after="211" w:afterLines="50" w:line="360" w:lineRule="auto"/>
        <w:ind w:left="3780" w:firstLine="420"/>
        <w:jc w:val="center"/>
        <w:rPr>
          <w:rFonts w:hAnsi="楷体"/>
          <w:color w:val="000000" w:themeColor="text1"/>
          <w:highlight w:val="none"/>
          <w14:textFill>
            <w14:solidFill>
              <w14:schemeClr w14:val="tx1"/>
            </w14:solidFill>
          </w14:textFill>
        </w:rPr>
      </w:pPr>
    </w:p>
    <w:p>
      <w:pPr>
        <w:pStyle w:val="41"/>
        <w:spacing w:before="211" w:beforeLines="50" w:after="211" w:afterLines="50" w:line="360" w:lineRule="auto"/>
        <w:ind w:left="3780" w:firstLine="420"/>
        <w:jc w:val="center"/>
        <w:rPr>
          <w:rFonts w:hAnsi="楷体"/>
          <w:color w:val="000000" w:themeColor="text1"/>
          <w:highlight w:val="none"/>
          <w14:textFill>
            <w14:solidFill>
              <w14:schemeClr w14:val="tx1"/>
            </w14:solidFill>
          </w14:textFill>
        </w:rPr>
      </w:pPr>
    </w:p>
    <w:p>
      <w:pPr>
        <w:widowControl w:val="0"/>
        <w:spacing w:before="211" w:beforeLines="50" w:after="211" w:afterLines="50" w:line="360" w:lineRule="auto"/>
        <w:jc w:val="right"/>
        <w:rPr>
          <w:rFonts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北京市君泽君（昆明）律师事务所</w:t>
      </w:r>
    </w:p>
    <w:p>
      <w:pPr>
        <w:rPr>
          <w:rFonts w:ascii="楷体" w:hAnsi="楷体" w:eastAsia="楷体"/>
          <w:color w:val="000000" w:themeColor="text1"/>
          <w:highlight w:val="none"/>
          <w14:textFill>
            <w14:solidFill>
              <w14:schemeClr w14:val="tx1"/>
            </w14:solidFill>
          </w14:textFill>
        </w:rPr>
      </w:pPr>
    </w:p>
    <w:sectPr>
      <w:footerReference r:id="rId6" w:type="default"/>
      <w:pgSz w:w="11900" w:h="16840"/>
      <w:pgMar w:top="1508" w:right="1800" w:bottom="1440" w:left="1800" w:header="655" w:footer="992" w:gutter="0"/>
      <w:pgNumType w:start="1"/>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DengXian Light">
    <w:altName w:val="Segoe Print"/>
    <w:panose1 w:val="00000000000000000000"/>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Courier">
    <w:altName w:val="Courier New"/>
    <w:panose1 w:val="02060409020205020404"/>
    <w:charset w:val="00"/>
    <w:family w:val="modern"/>
    <w:pitch w:val="default"/>
    <w:sig w:usb0="00000000" w:usb1="00000000" w:usb2="00000000" w:usb3="00000000" w:csb0="00000093" w:csb1="00000000"/>
  </w:font>
  <w:font w:name="等线 Light">
    <w:altName w:val="宋体"/>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LF_Kai">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Sylfaen">
    <w:panose1 w:val="010A0502050306030303"/>
    <w:charset w:val="00"/>
    <w:family w:val="roman"/>
    <w:pitch w:val="default"/>
    <w:sig w:usb0="040006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8773020"/>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15"/>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宋体" w:hAnsi="宋体" w:eastAsia="宋体" w:cs="宋体"/>
        <w:color w:val="555555"/>
      </w:rPr>
      <w:drawing>
        <wp:inline distT="0" distB="0" distL="114300" distR="114300">
          <wp:extent cx="304800" cy="304800"/>
          <wp:effectExtent l="0" t="0" r="0" b="0"/>
          <wp:docPr id="2" name="图片 2" descr="IMG_25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16"/>
    </w:pPr>
    <w:r>
      <w:rPr>
        <w:rFonts w:ascii="宋体" w:hAnsi="宋体" w:cs="宋体"/>
        <w:color w:val="555555"/>
        <w:sz w:val="24"/>
        <w:szCs w:val="24"/>
      </w:rPr>
      <w:drawing>
        <wp:inline distT="0" distB="0" distL="114300" distR="114300">
          <wp:extent cx="1059815" cy="250825"/>
          <wp:effectExtent l="0" t="0" r="6985" b="15875"/>
          <wp:docPr id="3" name="图片 3" descr="IMG_25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2"/>
                  <a:stretch>
                    <a:fillRect/>
                  </a:stretch>
                </pic:blipFill>
                <pic:spPr>
                  <a:xfrm>
                    <a:off x="0" y="0"/>
                    <a:ext cx="1059815" cy="25082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ECF"/>
    <w:rsid w:val="00006035"/>
    <w:rsid w:val="0000636E"/>
    <w:rsid w:val="00007E0A"/>
    <w:rsid w:val="000107D7"/>
    <w:rsid w:val="0001168F"/>
    <w:rsid w:val="000132A6"/>
    <w:rsid w:val="000144B2"/>
    <w:rsid w:val="000201E2"/>
    <w:rsid w:val="00023F8A"/>
    <w:rsid w:val="00024AE8"/>
    <w:rsid w:val="00025EC7"/>
    <w:rsid w:val="00027735"/>
    <w:rsid w:val="00032335"/>
    <w:rsid w:val="00033E1E"/>
    <w:rsid w:val="00033F52"/>
    <w:rsid w:val="00042BE4"/>
    <w:rsid w:val="00044F72"/>
    <w:rsid w:val="0004646D"/>
    <w:rsid w:val="00051F83"/>
    <w:rsid w:val="0005343B"/>
    <w:rsid w:val="0005401D"/>
    <w:rsid w:val="0005495C"/>
    <w:rsid w:val="00054FB8"/>
    <w:rsid w:val="00062B5B"/>
    <w:rsid w:val="00067157"/>
    <w:rsid w:val="00067519"/>
    <w:rsid w:val="00070401"/>
    <w:rsid w:val="00074DC8"/>
    <w:rsid w:val="000772D4"/>
    <w:rsid w:val="0007743F"/>
    <w:rsid w:val="00081F6E"/>
    <w:rsid w:val="00086A8F"/>
    <w:rsid w:val="00090E70"/>
    <w:rsid w:val="00092610"/>
    <w:rsid w:val="000955E4"/>
    <w:rsid w:val="00096C57"/>
    <w:rsid w:val="00097A27"/>
    <w:rsid w:val="000A1E52"/>
    <w:rsid w:val="000A2B06"/>
    <w:rsid w:val="000A3B99"/>
    <w:rsid w:val="000A6945"/>
    <w:rsid w:val="000B2589"/>
    <w:rsid w:val="000B2DCA"/>
    <w:rsid w:val="000B3093"/>
    <w:rsid w:val="000B37B9"/>
    <w:rsid w:val="000B6317"/>
    <w:rsid w:val="000B701B"/>
    <w:rsid w:val="000D2254"/>
    <w:rsid w:val="000D28E5"/>
    <w:rsid w:val="000D33E8"/>
    <w:rsid w:val="000D6914"/>
    <w:rsid w:val="000E0A0B"/>
    <w:rsid w:val="000E1E47"/>
    <w:rsid w:val="000E3837"/>
    <w:rsid w:val="000E3BDC"/>
    <w:rsid w:val="000E7419"/>
    <w:rsid w:val="000F1AA3"/>
    <w:rsid w:val="000F212F"/>
    <w:rsid w:val="000F3784"/>
    <w:rsid w:val="000F4656"/>
    <w:rsid w:val="000F4BD2"/>
    <w:rsid w:val="000F6746"/>
    <w:rsid w:val="00102884"/>
    <w:rsid w:val="00102C86"/>
    <w:rsid w:val="00105641"/>
    <w:rsid w:val="00107062"/>
    <w:rsid w:val="00107CC4"/>
    <w:rsid w:val="001216D9"/>
    <w:rsid w:val="0012224C"/>
    <w:rsid w:val="00124683"/>
    <w:rsid w:val="00124FEE"/>
    <w:rsid w:val="001265F4"/>
    <w:rsid w:val="00132AB0"/>
    <w:rsid w:val="00140A2C"/>
    <w:rsid w:val="00141777"/>
    <w:rsid w:val="001425A2"/>
    <w:rsid w:val="00143B81"/>
    <w:rsid w:val="00145834"/>
    <w:rsid w:val="00146FF7"/>
    <w:rsid w:val="001524CA"/>
    <w:rsid w:val="001539E3"/>
    <w:rsid w:val="001546BC"/>
    <w:rsid w:val="0015648F"/>
    <w:rsid w:val="00162342"/>
    <w:rsid w:val="00162C4B"/>
    <w:rsid w:val="00163DAF"/>
    <w:rsid w:val="00164139"/>
    <w:rsid w:val="0016626F"/>
    <w:rsid w:val="00172A27"/>
    <w:rsid w:val="001730D9"/>
    <w:rsid w:val="001738E0"/>
    <w:rsid w:val="00174894"/>
    <w:rsid w:val="00180451"/>
    <w:rsid w:val="00180FBA"/>
    <w:rsid w:val="00184369"/>
    <w:rsid w:val="001850EC"/>
    <w:rsid w:val="00192C22"/>
    <w:rsid w:val="001971BD"/>
    <w:rsid w:val="00197304"/>
    <w:rsid w:val="001A52E8"/>
    <w:rsid w:val="001B4E2E"/>
    <w:rsid w:val="001B5520"/>
    <w:rsid w:val="001B76B2"/>
    <w:rsid w:val="001C3A61"/>
    <w:rsid w:val="001D372A"/>
    <w:rsid w:val="001E0C61"/>
    <w:rsid w:val="001E1A60"/>
    <w:rsid w:val="001E442C"/>
    <w:rsid w:val="001F14F1"/>
    <w:rsid w:val="001F32AE"/>
    <w:rsid w:val="001F4631"/>
    <w:rsid w:val="001F4B5C"/>
    <w:rsid w:val="002003E6"/>
    <w:rsid w:val="00201094"/>
    <w:rsid w:val="00201B6F"/>
    <w:rsid w:val="00203B79"/>
    <w:rsid w:val="002049BE"/>
    <w:rsid w:val="00205B20"/>
    <w:rsid w:val="00205DB6"/>
    <w:rsid w:val="00211490"/>
    <w:rsid w:val="002120F5"/>
    <w:rsid w:val="00214DA6"/>
    <w:rsid w:val="00215AAE"/>
    <w:rsid w:val="00217659"/>
    <w:rsid w:val="00217F6F"/>
    <w:rsid w:val="0022104E"/>
    <w:rsid w:val="00227E28"/>
    <w:rsid w:val="00231662"/>
    <w:rsid w:val="00234915"/>
    <w:rsid w:val="00234D33"/>
    <w:rsid w:val="0023516D"/>
    <w:rsid w:val="00235A1E"/>
    <w:rsid w:val="00237385"/>
    <w:rsid w:val="00240E05"/>
    <w:rsid w:val="00241003"/>
    <w:rsid w:val="002431B5"/>
    <w:rsid w:val="00243A3A"/>
    <w:rsid w:val="00246432"/>
    <w:rsid w:val="002464C8"/>
    <w:rsid w:val="002470DC"/>
    <w:rsid w:val="00247F71"/>
    <w:rsid w:val="00251810"/>
    <w:rsid w:val="0025190E"/>
    <w:rsid w:val="00252627"/>
    <w:rsid w:val="00255836"/>
    <w:rsid w:val="00255A87"/>
    <w:rsid w:val="002569BE"/>
    <w:rsid w:val="002571BE"/>
    <w:rsid w:val="00260CF6"/>
    <w:rsid w:val="00266489"/>
    <w:rsid w:val="00274146"/>
    <w:rsid w:val="002774E9"/>
    <w:rsid w:val="0028264B"/>
    <w:rsid w:val="0028318C"/>
    <w:rsid w:val="002835FA"/>
    <w:rsid w:val="00284658"/>
    <w:rsid w:val="002858AF"/>
    <w:rsid w:val="00291605"/>
    <w:rsid w:val="0029280F"/>
    <w:rsid w:val="00292A76"/>
    <w:rsid w:val="002934A4"/>
    <w:rsid w:val="00293893"/>
    <w:rsid w:val="00294563"/>
    <w:rsid w:val="002948D1"/>
    <w:rsid w:val="00294972"/>
    <w:rsid w:val="00294CC2"/>
    <w:rsid w:val="0029636A"/>
    <w:rsid w:val="002968B5"/>
    <w:rsid w:val="00297509"/>
    <w:rsid w:val="002A0DA0"/>
    <w:rsid w:val="002A1203"/>
    <w:rsid w:val="002A1D76"/>
    <w:rsid w:val="002A21D9"/>
    <w:rsid w:val="002A3409"/>
    <w:rsid w:val="002A34F4"/>
    <w:rsid w:val="002A3509"/>
    <w:rsid w:val="002A758B"/>
    <w:rsid w:val="002A7A60"/>
    <w:rsid w:val="002B06C4"/>
    <w:rsid w:val="002B19C4"/>
    <w:rsid w:val="002C0A91"/>
    <w:rsid w:val="002C2ED0"/>
    <w:rsid w:val="002C59A3"/>
    <w:rsid w:val="002C6FDC"/>
    <w:rsid w:val="002C7301"/>
    <w:rsid w:val="002D0E5B"/>
    <w:rsid w:val="002D13BE"/>
    <w:rsid w:val="002D4052"/>
    <w:rsid w:val="002D4775"/>
    <w:rsid w:val="002D68A1"/>
    <w:rsid w:val="002D6A26"/>
    <w:rsid w:val="002E1C5E"/>
    <w:rsid w:val="002E30AC"/>
    <w:rsid w:val="002E3853"/>
    <w:rsid w:val="002E56AB"/>
    <w:rsid w:val="002E5B3E"/>
    <w:rsid w:val="002E7495"/>
    <w:rsid w:val="002F4CFB"/>
    <w:rsid w:val="002F6EF8"/>
    <w:rsid w:val="0030285C"/>
    <w:rsid w:val="00313369"/>
    <w:rsid w:val="00313E7D"/>
    <w:rsid w:val="00314630"/>
    <w:rsid w:val="0031507B"/>
    <w:rsid w:val="00317AC4"/>
    <w:rsid w:val="00321C2A"/>
    <w:rsid w:val="003245D5"/>
    <w:rsid w:val="0032558D"/>
    <w:rsid w:val="00326297"/>
    <w:rsid w:val="003269E8"/>
    <w:rsid w:val="00331A54"/>
    <w:rsid w:val="003328E2"/>
    <w:rsid w:val="00332FB2"/>
    <w:rsid w:val="003339AF"/>
    <w:rsid w:val="00336BCC"/>
    <w:rsid w:val="0034069A"/>
    <w:rsid w:val="00347163"/>
    <w:rsid w:val="003477ED"/>
    <w:rsid w:val="0035227D"/>
    <w:rsid w:val="003524ED"/>
    <w:rsid w:val="00354DB5"/>
    <w:rsid w:val="00355048"/>
    <w:rsid w:val="00355361"/>
    <w:rsid w:val="00356F01"/>
    <w:rsid w:val="0036113A"/>
    <w:rsid w:val="003649DD"/>
    <w:rsid w:val="00365721"/>
    <w:rsid w:val="00366986"/>
    <w:rsid w:val="003701E5"/>
    <w:rsid w:val="00371810"/>
    <w:rsid w:val="003724B4"/>
    <w:rsid w:val="00374FC4"/>
    <w:rsid w:val="00375DCE"/>
    <w:rsid w:val="00376487"/>
    <w:rsid w:val="0038110D"/>
    <w:rsid w:val="003828F2"/>
    <w:rsid w:val="00382FA4"/>
    <w:rsid w:val="00384820"/>
    <w:rsid w:val="003915B1"/>
    <w:rsid w:val="003A1E8E"/>
    <w:rsid w:val="003A616C"/>
    <w:rsid w:val="003A68B2"/>
    <w:rsid w:val="003A7FFC"/>
    <w:rsid w:val="003B2A6B"/>
    <w:rsid w:val="003B3992"/>
    <w:rsid w:val="003B54DA"/>
    <w:rsid w:val="003C30F0"/>
    <w:rsid w:val="003C64DF"/>
    <w:rsid w:val="003D01BC"/>
    <w:rsid w:val="003D0ECD"/>
    <w:rsid w:val="003D4C3C"/>
    <w:rsid w:val="003F180E"/>
    <w:rsid w:val="003F2A45"/>
    <w:rsid w:val="003F3198"/>
    <w:rsid w:val="003F4D05"/>
    <w:rsid w:val="003F4EC4"/>
    <w:rsid w:val="003F562D"/>
    <w:rsid w:val="003F7495"/>
    <w:rsid w:val="004002A2"/>
    <w:rsid w:val="00402582"/>
    <w:rsid w:val="00405E60"/>
    <w:rsid w:val="004159E8"/>
    <w:rsid w:val="004166B5"/>
    <w:rsid w:val="0042059D"/>
    <w:rsid w:val="004233F0"/>
    <w:rsid w:val="00426D09"/>
    <w:rsid w:val="004278D7"/>
    <w:rsid w:val="00430040"/>
    <w:rsid w:val="00430E3B"/>
    <w:rsid w:val="0043222B"/>
    <w:rsid w:val="00442396"/>
    <w:rsid w:val="00444CD8"/>
    <w:rsid w:val="004461ED"/>
    <w:rsid w:val="00447441"/>
    <w:rsid w:val="00447C45"/>
    <w:rsid w:val="0045045A"/>
    <w:rsid w:val="00452C85"/>
    <w:rsid w:val="0045515B"/>
    <w:rsid w:val="00456A66"/>
    <w:rsid w:val="004574B9"/>
    <w:rsid w:val="004633BD"/>
    <w:rsid w:val="00477466"/>
    <w:rsid w:val="00480E0C"/>
    <w:rsid w:val="004817C8"/>
    <w:rsid w:val="00487DE6"/>
    <w:rsid w:val="00490191"/>
    <w:rsid w:val="00490289"/>
    <w:rsid w:val="00490344"/>
    <w:rsid w:val="004946B3"/>
    <w:rsid w:val="00494868"/>
    <w:rsid w:val="00497100"/>
    <w:rsid w:val="004A09C8"/>
    <w:rsid w:val="004A0D2E"/>
    <w:rsid w:val="004A1BAE"/>
    <w:rsid w:val="004A2E35"/>
    <w:rsid w:val="004A2FDE"/>
    <w:rsid w:val="004A4E4D"/>
    <w:rsid w:val="004A681A"/>
    <w:rsid w:val="004A7B9C"/>
    <w:rsid w:val="004B4E03"/>
    <w:rsid w:val="004B522C"/>
    <w:rsid w:val="004B7C42"/>
    <w:rsid w:val="004C1244"/>
    <w:rsid w:val="004C3E5D"/>
    <w:rsid w:val="004C5B77"/>
    <w:rsid w:val="004C612A"/>
    <w:rsid w:val="004C77F9"/>
    <w:rsid w:val="004C7AE5"/>
    <w:rsid w:val="004D20CD"/>
    <w:rsid w:val="004D374D"/>
    <w:rsid w:val="004D3D45"/>
    <w:rsid w:val="004D7B6E"/>
    <w:rsid w:val="004E34B1"/>
    <w:rsid w:val="004E445A"/>
    <w:rsid w:val="004E5287"/>
    <w:rsid w:val="004E6684"/>
    <w:rsid w:val="004E6BEA"/>
    <w:rsid w:val="004F02B8"/>
    <w:rsid w:val="004F3C70"/>
    <w:rsid w:val="004F3E62"/>
    <w:rsid w:val="004F4CBA"/>
    <w:rsid w:val="004F4D9C"/>
    <w:rsid w:val="004F51B5"/>
    <w:rsid w:val="004F51CD"/>
    <w:rsid w:val="004F5E35"/>
    <w:rsid w:val="004F6C45"/>
    <w:rsid w:val="00504322"/>
    <w:rsid w:val="00505824"/>
    <w:rsid w:val="00512510"/>
    <w:rsid w:val="005150E2"/>
    <w:rsid w:val="0051532F"/>
    <w:rsid w:val="0052392B"/>
    <w:rsid w:val="00526373"/>
    <w:rsid w:val="00526464"/>
    <w:rsid w:val="00526F6B"/>
    <w:rsid w:val="00530A8C"/>
    <w:rsid w:val="00535F88"/>
    <w:rsid w:val="005421C8"/>
    <w:rsid w:val="00544CD5"/>
    <w:rsid w:val="0054654F"/>
    <w:rsid w:val="00547EC4"/>
    <w:rsid w:val="005500E0"/>
    <w:rsid w:val="00551F39"/>
    <w:rsid w:val="00557313"/>
    <w:rsid w:val="005600BD"/>
    <w:rsid w:val="00560715"/>
    <w:rsid w:val="0056325F"/>
    <w:rsid w:val="00563C23"/>
    <w:rsid w:val="00565CC3"/>
    <w:rsid w:val="005668B0"/>
    <w:rsid w:val="00567152"/>
    <w:rsid w:val="00570F3D"/>
    <w:rsid w:val="00574F07"/>
    <w:rsid w:val="00575177"/>
    <w:rsid w:val="00576BE9"/>
    <w:rsid w:val="005817C3"/>
    <w:rsid w:val="00584745"/>
    <w:rsid w:val="00584C8C"/>
    <w:rsid w:val="0058555B"/>
    <w:rsid w:val="0058685C"/>
    <w:rsid w:val="00586A1A"/>
    <w:rsid w:val="00595795"/>
    <w:rsid w:val="0059619A"/>
    <w:rsid w:val="00597818"/>
    <w:rsid w:val="005A001A"/>
    <w:rsid w:val="005A2E6F"/>
    <w:rsid w:val="005A43F0"/>
    <w:rsid w:val="005B0BA5"/>
    <w:rsid w:val="005B0E1F"/>
    <w:rsid w:val="005B4677"/>
    <w:rsid w:val="005B60A3"/>
    <w:rsid w:val="005B798C"/>
    <w:rsid w:val="005B799C"/>
    <w:rsid w:val="005C30E4"/>
    <w:rsid w:val="005C3FAA"/>
    <w:rsid w:val="005C5CB3"/>
    <w:rsid w:val="005C5F4A"/>
    <w:rsid w:val="005C6406"/>
    <w:rsid w:val="005C65DE"/>
    <w:rsid w:val="005D0066"/>
    <w:rsid w:val="005D011F"/>
    <w:rsid w:val="005D01FF"/>
    <w:rsid w:val="005D1C6D"/>
    <w:rsid w:val="005D32D9"/>
    <w:rsid w:val="005D5D1E"/>
    <w:rsid w:val="005E0F05"/>
    <w:rsid w:val="005E1F30"/>
    <w:rsid w:val="005E25F9"/>
    <w:rsid w:val="005E523E"/>
    <w:rsid w:val="005E6EE5"/>
    <w:rsid w:val="005E7621"/>
    <w:rsid w:val="005F0D5F"/>
    <w:rsid w:val="005F0DE4"/>
    <w:rsid w:val="005F0F52"/>
    <w:rsid w:val="005F1CFC"/>
    <w:rsid w:val="005F6F9A"/>
    <w:rsid w:val="006069B5"/>
    <w:rsid w:val="00606CC0"/>
    <w:rsid w:val="00607AEA"/>
    <w:rsid w:val="00610A3B"/>
    <w:rsid w:val="00610B75"/>
    <w:rsid w:val="00611E51"/>
    <w:rsid w:val="006151B7"/>
    <w:rsid w:val="006178D6"/>
    <w:rsid w:val="00621CFE"/>
    <w:rsid w:val="0062570E"/>
    <w:rsid w:val="00627465"/>
    <w:rsid w:val="00627FFB"/>
    <w:rsid w:val="006323FF"/>
    <w:rsid w:val="006330DA"/>
    <w:rsid w:val="00634EB5"/>
    <w:rsid w:val="006429F0"/>
    <w:rsid w:val="00642A9A"/>
    <w:rsid w:val="00643346"/>
    <w:rsid w:val="00643AFE"/>
    <w:rsid w:val="00644A01"/>
    <w:rsid w:val="006458AF"/>
    <w:rsid w:val="0064599D"/>
    <w:rsid w:val="00646122"/>
    <w:rsid w:val="00652B84"/>
    <w:rsid w:val="00652C83"/>
    <w:rsid w:val="0065302B"/>
    <w:rsid w:val="00653788"/>
    <w:rsid w:val="00656B60"/>
    <w:rsid w:val="00657E0C"/>
    <w:rsid w:val="00657F62"/>
    <w:rsid w:val="00663EEC"/>
    <w:rsid w:val="00663FA8"/>
    <w:rsid w:val="006641EA"/>
    <w:rsid w:val="006654B8"/>
    <w:rsid w:val="00665D8D"/>
    <w:rsid w:val="006663D3"/>
    <w:rsid w:val="00666A19"/>
    <w:rsid w:val="00667859"/>
    <w:rsid w:val="0067118E"/>
    <w:rsid w:val="006735E0"/>
    <w:rsid w:val="0067502D"/>
    <w:rsid w:val="00676E0E"/>
    <w:rsid w:val="006829E6"/>
    <w:rsid w:val="0068526D"/>
    <w:rsid w:val="006870EB"/>
    <w:rsid w:val="00687E21"/>
    <w:rsid w:val="00690087"/>
    <w:rsid w:val="00691268"/>
    <w:rsid w:val="0069290B"/>
    <w:rsid w:val="0069309B"/>
    <w:rsid w:val="0069524B"/>
    <w:rsid w:val="00697F96"/>
    <w:rsid w:val="006A2703"/>
    <w:rsid w:val="006A738C"/>
    <w:rsid w:val="006B4456"/>
    <w:rsid w:val="006B5534"/>
    <w:rsid w:val="006B6104"/>
    <w:rsid w:val="006B63F1"/>
    <w:rsid w:val="006B6E28"/>
    <w:rsid w:val="006C2EDF"/>
    <w:rsid w:val="006C416C"/>
    <w:rsid w:val="006C7F60"/>
    <w:rsid w:val="006D022C"/>
    <w:rsid w:val="006D0AA6"/>
    <w:rsid w:val="006D7EDF"/>
    <w:rsid w:val="006E0E23"/>
    <w:rsid w:val="006E134E"/>
    <w:rsid w:val="006E25BD"/>
    <w:rsid w:val="006E4115"/>
    <w:rsid w:val="006E6887"/>
    <w:rsid w:val="006F05E0"/>
    <w:rsid w:val="006F33B9"/>
    <w:rsid w:val="006F364A"/>
    <w:rsid w:val="006F3A4B"/>
    <w:rsid w:val="006F6AD2"/>
    <w:rsid w:val="006F78F0"/>
    <w:rsid w:val="006F79C8"/>
    <w:rsid w:val="00704BF7"/>
    <w:rsid w:val="00706AF7"/>
    <w:rsid w:val="00707F6F"/>
    <w:rsid w:val="007100A4"/>
    <w:rsid w:val="00711A13"/>
    <w:rsid w:val="00713249"/>
    <w:rsid w:val="00714102"/>
    <w:rsid w:val="00714837"/>
    <w:rsid w:val="00714D22"/>
    <w:rsid w:val="007173E7"/>
    <w:rsid w:val="007231AA"/>
    <w:rsid w:val="007251B3"/>
    <w:rsid w:val="00725B35"/>
    <w:rsid w:val="00726A05"/>
    <w:rsid w:val="007319AD"/>
    <w:rsid w:val="007322ED"/>
    <w:rsid w:val="00733D17"/>
    <w:rsid w:val="00743DC2"/>
    <w:rsid w:val="00747681"/>
    <w:rsid w:val="007502A6"/>
    <w:rsid w:val="00752D68"/>
    <w:rsid w:val="00760009"/>
    <w:rsid w:val="007621AC"/>
    <w:rsid w:val="00763006"/>
    <w:rsid w:val="00764264"/>
    <w:rsid w:val="00772B8D"/>
    <w:rsid w:val="007754B9"/>
    <w:rsid w:val="00775E42"/>
    <w:rsid w:val="00775FD7"/>
    <w:rsid w:val="00776942"/>
    <w:rsid w:val="00781996"/>
    <w:rsid w:val="00782852"/>
    <w:rsid w:val="0078465A"/>
    <w:rsid w:val="00785456"/>
    <w:rsid w:val="00790B52"/>
    <w:rsid w:val="00790FB4"/>
    <w:rsid w:val="007916ED"/>
    <w:rsid w:val="00791EF7"/>
    <w:rsid w:val="007930B6"/>
    <w:rsid w:val="00793FBB"/>
    <w:rsid w:val="007945F0"/>
    <w:rsid w:val="00794FEF"/>
    <w:rsid w:val="00795034"/>
    <w:rsid w:val="0079562F"/>
    <w:rsid w:val="00796095"/>
    <w:rsid w:val="007962E9"/>
    <w:rsid w:val="007A3F45"/>
    <w:rsid w:val="007A6345"/>
    <w:rsid w:val="007A697F"/>
    <w:rsid w:val="007B0EA5"/>
    <w:rsid w:val="007B1219"/>
    <w:rsid w:val="007B162E"/>
    <w:rsid w:val="007B2781"/>
    <w:rsid w:val="007B296E"/>
    <w:rsid w:val="007B63E7"/>
    <w:rsid w:val="007B78BA"/>
    <w:rsid w:val="007C11B4"/>
    <w:rsid w:val="007C3D43"/>
    <w:rsid w:val="007C45E8"/>
    <w:rsid w:val="007C4F7F"/>
    <w:rsid w:val="007C74F7"/>
    <w:rsid w:val="007D06F6"/>
    <w:rsid w:val="007D1FAF"/>
    <w:rsid w:val="007D222D"/>
    <w:rsid w:val="007D2AD6"/>
    <w:rsid w:val="007D2F1E"/>
    <w:rsid w:val="007E00A4"/>
    <w:rsid w:val="007E056F"/>
    <w:rsid w:val="007E15E2"/>
    <w:rsid w:val="007E20F3"/>
    <w:rsid w:val="007E5523"/>
    <w:rsid w:val="007E5CE8"/>
    <w:rsid w:val="007F0BB8"/>
    <w:rsid w:val="007F3BA3"/>
    <w:rsid w:val="007F4F84"/>
    <w:rsid w:val="007F57A1"/>
    <w:rsid w:val="007F5DAC"/>
    <w:rsid w:val="007F6082"/>
    <w:rsid w:val="007F6435"/>
    <w:rsid w:val="007F7A43"/>
    <w:rsid w:val="00801E0C"/>
    <w:rsid w:val="0080379D"/>
    <w:rsid w:val="00804357"/>
    <w:rsid w:val="008046B8"/>
    <w:rsid w:val="008051D3"/>
    <w:rsid w:val="00813DDB"/>
    <w:rsid w:val="00815B42"/>
    <w:rsid w:val="008204AB"/>
    <w:rsid w:val="008232A0"/>
    <w:rsid w:val="00824267"/>
    <w:rsid w:val="00824796"/>
    <w:rsid w:val="008274FE"/>
    <w:rsid w:val="00827DB9"/>
    <w:rsid w:val="00833811"/>
    <w:rsid w:val="00837B04"/>
    <w:rsid w:val="008402E4"/>
    <w:rsid w:val="00843098"/>
    <w:rsid w:val="00844AB1"/>
    <w:rsid w:val="00845100"/>
    <w:rsid w:val="00847DFE"/>
    <w:rsid w:val="00852E7B"/>
    <w:rsid w:val="00853F76"/>
    <w:rsid w:val="00855A81"/>
    <w:rsid w:val="00857B2A"/>
    <w:rsid w:val="0086106D"/>
    <w:rsid w:val="008655EA"/>
    <w:rsid w:val="00865D1B"/>
    <w:rsid w:val="00867AB6"/>
    <w:rsid w:val="00870180"/>
    <w:rsid w:val="00872CDC"/>
    <w:rsid w:val="00874903"/>
    <w:rsid w:val="00876EA2"/>
    <w:rsid w:val="0087781A"/>
    <w:rsid w:val="00881CC4"/>
    <w:rsid w:val="00882F88"/>
    <w:rsid w:val="008920E5"/>
    <w:rsid w:val="00893CC0"/>
    <w:rsid w:val="0089405C"/>
    <w:rsid w:val="008A3378"/>
    <w:rsid w:val="008A41CF"/>
    <w:rsid w:val="008A441C"/>
    <w:rsid w:val="008A52BF"/>
    <w:rsid w:val="008A5821"/>
    <w:rsid w:val="008A629D"/>
    <w:rsid w:val="008A74F6"/>
    <w:rsid w:val="008A7F10"/>
    <w:rsid w:val="008B033C"/>
    <w:rsid w:val="008B10A6"/>
    <w:rsid w:val="008B1BEA"/>
    <w:rsid w:val="008B2311"/>
    <w:rsid w:val="008B5693"/>
    <w:rsid w:val="008B6C16"/>
    <w:rsid w:val="008B6E4B"/>
    <w:rsid w:val="008B761C"/>
    <w:rsid w:val="008B7A48"/>
    <w:rsid w:val="008B7B32"/>
    <w:rsid w:val="008C048F"/>
    <w:rsid w:val="008C30D5"/>
    <w:rsid w:val="008C3276"/>
    <w:rsid w:val="008C5634"/>
    <w:rsid w:val="008C6698"/>
    <w:rsid w:val="008C7F38"/>
    <w:rsid w:val="008D0596"/>
    <w:rsid w:val="008D129F"/>
    <w:rsid w:val="008D2EB3"/>
    <w:rsid w:val="008D566F"/>
    <w:rsid w:val="008D6297"/>
    <w:rsid w:val="008D62D8"/>
    <w:rsid w:val="008D792D"/>
    <w:rsid w:val="008E09B6"/>
    <w:rsid w:val="008E1000"/>
    <w:rsid w:val="008E3896"/>
    <w:rsid w:val="008E3A37"/>
    <w:rsid w:val="008E459F"/>
    <w:rsid w:val="008E4F40"/>
    <w:rsid w:val="008E5D09"/>
    <w:rsid w:val="008E7A3B"/>
    <w:rsid w:val="008F3F00"/>
    <w:rsid w:val="008F4D13"/>
    <w:rsid w:val="008F4F75"/>
    <w:rsid w:val="008F5D0C"/>
    <w:rsid w:val="008F7E5C"/>
    <w:rsid w:val="00905562"/>
    <w:rsid w:val="00906210"/>
    <w:rsid w:val="00907261"/>
    <w:rsid w:val="0091200D"/>
    <w:rsid w:val="009130D5"/>
    <w:rsid w:val="00914F84"/>
    <w:rsid w:val="0092077B"/>
    <w:rsid w:val="00921346"/>
    <w:rsid w:val="00921A99"/>
    <w:rsid w:val="0092225D"/>
    <w:rsid w:val="00922D6C"/>
    <w:rsid w:val="009243CC"/>
    <w:rsid w:val="00924A8D"/>
    <w:rsid w:val="00925328"/>
    <w:rsid w:val="00925B6A"/>
    <w:rsid w:val="00927375"/>
    <w:rsid w:val="009301A8"/>
    <w:rsid w:val="00932C6A"/>
    <w:rsid w:val="00935D61"/>
    <w:rsid w:val="00937389"/>
    <w:rsid w:val="0094052A"/>
    <w:rsid w:val="00941C82"/>
    <w:rsid w:val="0095154F"/>
    <w:rsid w:val="00951DF8"/>
    <w:rsid w:val="00952275"/>
    <w:rsid w:val="00954EFA"/>
    <w:rsid w:val="009556D5"/>
    <w:rsid w:val="00961B36"/>
    <w:rsid w:val="009649BD"/>
    <w:rsid w:val="00965DDF"/>
    <w:rsid w:val="009665F2"/>
    <w:rsid w:val="009673D1"/>
    <w:rsid w:val="00971A15"/>
    <w:rsid w:val="00973E46"/>
    <w:rsid w:val="00973F5D"/>
    <w:rsid w:val="00974EB7"/>
    <w:rsid w:val="00982469"/>
    <w:rsid w:val="00986524"/>
    <w:rsid w:val="00986D18"/>
    <w:rsid w:val="009913D6"/>
    <w:rsid w:val="00992244"/>
    <w:rsid w:val="009932CD"/>
    <w:rsid w:val="00994749"/>
    <w:rsid w:val="009A0D4B"/>
    <w:rsid w:val="009A1FA2"/>
    <w:rsid w:val="009A4871"/>
    <w:rsid w:val="009A662E"/>
    <w:rsid w:val="009A6EFB"/>
    <w:rsid w:val="009B1C49"/>
    <w:rsid w:val="009B3F25"/>
    <w:rsid w:val="009B4314"/>
    <w:rsid w:val="009B5BA0"/>
    <w:rsid w:val="009B6548"/>
    <w:rsid w:val="009B7125"/>
    <w:rsid w:val="009C3B1A"/>
    <w:rsid w:val="009C452D"/>
    <w:rsid w:val="009C6C1F"/>
    <w:rsid w:val="009C76A8"/>
    <w:rsid w:val="009D0644"/>
    <w:rsid w:val="009D1D08"/>
    <w:rsid w:val="009D2454"/>
    <w:rsid w:val="009E1C79"/>
    <w:rsid w:val="009E433E"/>
    <w:rsid w:val="009F01D0"/>
    <w:rsid w:val="009F4AEE"/>
    <w:rsid w:val="009F4D7B"/>
    <w:rsid w:val="009F6320"/>
    <w:rsid w:val="00A03530"/>
    <w:rsid w:val="00A0444B"/>
    <w:rsid w:val="00A112F0"/>
    <w:rsid w:val="00A125D0"/>
    <w:rsid w:val="00A16B0B"/>
    <w:rsid w:val="00A20153"/>
    <w:rsid w:val="00A20FC0"/>
    <w:rsid w:val="00A22085"/>
    <w:rsid w:val="00A25B37"/>
    <w:rsid w:val="00A2628F"/>
    <w:rsid w:val="00A26AEB"/>
    <w:rsid w:val="00A278E5"/>
    <w:rsid w:val="00A27A8B"/>
    <w:rsid w:val="00A27CD7"/>
    <w:rsid w:val="00A32E8D"/>
    <w:rsid w:val="00A3396F"/>
    <w:rsid w:val="00A34B3B"/>
    <w:rsid w:val="00A36C9F"/>
    <w:rsid w:val="00A411D5"/>
    <w:rsid w:val="00A43827"/>
    <w:rsid w:val="00A46C86"/>
    <w:rsid w:val="00A5085F"/>
    <w:rsid w:val="00A50960"/>
    <w:rsid w:val="00A50B83"/>
    <w:rsid w:val="00A53D19"/>
    <w:rsid w:val="00A55BB2"/>
    <w:rsid w:val="00A5797D"/>
    <w:rsid w:val="00A60E46"/>
    <w:rsid w:val="00A62171"/>
    <w:rsid w:val="00A62CAE"/>
    <w:rsid w:val="00A67FBE"/>
    <w:rsid w:val="00A74B46"/>
    <w:rsid w:val="00A8271D"/>
    <w:rsid w:val="00A831C7"/>
    <w:rsid w:val="00A869AE"/>
    <w:rsid w:val="00A86FAE"/>
    <w:rsid w:val="00A86FDF"/>
    <w:rsid w:val="00A912FD"/>
    <w:rsid w:val="00A92D1B"/>
    <w:rsid w:val="00A96316"/>
    <w:rsid w:val="00A97C97"/>
    <w:rsid w:val="00AA2090"/>
    <w:rsid w:val="00AA3709"/>
    <w:rsid w:val="00AA45A5"/>
    <w:rsid w:val="00AA58F7"/>
    <w:rsid w:val="00AA59D5"/>
    <w:rsid w:val="00AA5AB8"/>
    <w:rsid w:val="00AC0D2D"/>
    <w:rsid w:val="00AC18EB"/>
    <w:rsid w:val="00AC2C87"/>
    <w:rsid w:val="00AC382F"/>
    <w:rsid w:val="00AC40C2"/>
    <w:rsid w:val="00AC4C2E"/>
    <w:rsid w:val="00AC7611"/>
    <w:rsid w:val="00AD6172"/>
    <w:rsid w:val="00AD6227"/>
    <w:rsid w:val="00AE277C"/>
    <w:rsid w:val="00AE4CB8"/>
    <w:rsid w:val="00AE768C"/>
    <w:rsid w:val="00AF10B2"/>
    <w:rsid w:val="00AF29AC"/>
    <w:rsid w:val="00AF470D"/>
    <w:rsid w:val="00B002F8"/>
    <w:rsid w:val="00B006ED"/>
    <w:rsid w:val="00B05C50"/>
    <w:rsid w:val="00B05FDD"/>
    <w:rsid w:val="00B07DA4"/>
    <w:rsid w:val="00B07F04"/>
    <w:rsid w:val="00B1014E"/>
    <w:rsid w:val="00B15F59"/>
    <w:rsid w:val="00B16731"/>
    <w:rsid w:val="00B16916"/>
    <w:rsid w:val="00B17CA9"/>
    <w:rsid w:val="00B2046B"/>
    <w:rsid w:val="00B21375"/>
    <w:rsid w:val="00B23A33"/>
    <w:rsid w:val="00B24A01"/>
    <w:rsid w:val="00B32CD2"/>
    <w:rsid w:val="00B33768"/>
    <w:rsid w:val="00B36191"/>
    <w:rsid w:val="00B36B17"/>
    <w:rsid w:val="00B3796E"/>
    <w:rsid w:val="00B37C70"/>
    <w:rsid w:val="00B37D29"/>
    <w:rsid w:val="00B404EA"/>
    <w:rsid w:val="00B42C11"/>
    <w:rsid w:val="00B42C27"/>
    <w:rsid w:val="00B42ED4"/>
    <w:rsid w:val="00B4599C"/>
    <w:rsid w:val="00B50608"/>
    <w:rsid w:val="00B50EAB"/>
    <w:rsid w:val="00B516D9"/>
    <w:rsid w:val="00B52099"/>
    <w:rsid w:val="00B56AA6"/>
    <w:rsid w:val="00B6685A"/>
    <w:rsid w:val="00B66FB2"/>
    <w:rsid w:val="00B72B7B"/>
    <w:rsid w:val="00B72ED2"/>
    <w:rsid w:val="00B74B0A"/>
    <w:rsid w:val="00B81FFB"/>
    <w:rsid w:val="00B82FE9"/>
    <w:rsid w:val="00B83F1E"/>
    <w:rsid w:val="00B84917"/>
    <w:rsid w:val="00B85346"/>
    <w:rsid w:val="00B85978"/>
    <w:rsid w:val="00B85A3E"/>
    <w:rsid w:val="00B9014A"/>
    <w:rsid w:val="00B958F5"/>
    <w:rsid w:val="00B95DD4"/>
    <w:rsid w:val="00B978F6"/>
    <w:rsid w:val="00BA170D"/>
    <w:rsid w:val="00BB300C"/>
    <w:rsid w:val="00BC0C13"/>
    <w:rsid w:val="00BD135A"/>
    <w:rsid w:val="00BD229A"/>
    <w:rsid w:val="00BD2904"/>
    <w:rsid w:val="00BD4666"/>
    <w:rsid w:val="00BE011E"/>
    <w:rsid w:val="00BE2A8C"/>
    <w:rsid w:val="00BF00AF"/>
    <w:rsid w:val="00BF3B85"/>
    <w:rsid w:val="00BF7402"/>
    <w:rsid w:val="00C009C9"/>
    <w:rsid w:val="00C03B06"/>
    <w:rsid w:val="00C0411F"/>
    <w:rsid w:val="00C12C62"/>
    <w:rsid w:val="00C135C2"/>
    <w:rsid w:val="00C14DCD"/>
    <w:rsid w:val="00C17459"/>
    <w:rsid w:val="00C210A8"/>
    <w:rsid w:val="00C21BC9"/>
    <w:rsid w:val="00C23300"/>
    <w:rsid w:val="00C23FFD"/>
    <w:rsid w:val="00C262BA"/>
    <w:rsid w:val="00C30C32"/>
    <w:rsid w:val="00C34550"/>
    <w:rsid w:val="00C34935"/>
    <w:rsid w:val="00C4025F"/>
    <w:rsid w:val="00C40414"/>
    <w:rsid w:val="00C50ECE"/>
    <w:rsid w:val="00C52916"/>
    <w:rsid w:val="00C531E6"/>
    <w:rsid w:val="00C535C9"/>
    <w:rsid w:val="00C540CA"/>
    <w:rsid w:val="00C5691B"/>
    <w:rsid w:val="00C5704A"/>
    <w:rsid w:val="00C57C0C"/>
    <w:rsid w:val="00C57C3C"/>
    <w:rsid w:val="00C57FA4"/>
    <w:rsid w:val="00C63018"/>
    <w:rsid w:val="00C63C7F"/>
    <w:rsid w:val="00C64070"/>
    <w:rsid w:val="00C647C0"/>
    <w:rsid w:val="00C65167"/>
    <w:rsid w:val="00C65537"/>
    <w:rsid w:val="00C71A21"/>
    <w:rsid w:val="00C7787E"/>
    <w:rsid w:val="00C77D0F"/>
    <w:rsid w:val="00C81B50"/>
    <w:rsid w:val="00C91079"/>
    <w:rsid w:val="00C918F4"/>
    <w:rsid w:val="00C94DD8"/>
    <w:rsid w:val="00C95207"/>
    <w:rsid w:val="00C9677D"/>
    <w:rsid w:val="00CA0425"/>
    <w:rsid w:val="00CA3590"/>
    <w:rsid w:val="00CA476E"/>
    <w:rsid w:val="00CA4A89"/>
    <w:rsid w:val="00CB072F"/>
    <w:rsid w:val="00CB1878"/>
    <w:rsid w:val="00CB4E9B"/>
    <w:rsid w:val="00CB61C2"/>
    <w:rsid w:val="00CB7F24"/>
    <w:rsid w:val="00CB7F6E"/>
    <w:rsid w:val="00CC3F7C"/>
    <w:rsid w:val="00CC455D"/>
    <w:rsid w:val="00CD15C1"/>
    <w:rsid w:val="00CD2AB8"/>
    <w:rsid w:val="00CD4544"/>
    <w:rsid w:val="00CE3E04"/>
    <w:rsid w:val="00CE3E6B"/>
    <w:rsid w:val="00CE52C6"/>
    <w:rsid w:val="00CE55C1"/>
    <w:rsid w:val="00CF2FA7"/>
    <w:rsid w:val="00CF4296"/>
    <w:rsid w:val="00D034EA"/>
    <w:rsid w:val="00D04BFE"/>
    <w:rsid w:val="00D04E05"/>
    <w:rsid w:val="00D079CB"/>
    <w:rsid w:val="00D1041B"/>
    <w:rsid w:val="00D15082"/>
    <w:rsid w:val="00D21175"/>
    <w:rsid w:val="00D234B4"/>
    <w:rsid w:val="00D253C5"/>
    <w:rsid w:val="00D257EB"/>
    <w:rsid w:val="00D30715"/>
    <w:rsid w:val="00D42A9E"/>
    <w:rsid w:val="00D43AA2"/>
    <w:rsid w:val="00D50083"/>
    <w:rsid w:val="00D52007"/>
    <w:rsid w:val="00D52D8B"/>
    <w:rsid w:val="00D5548B"/>
    <w:rsid w:val="00D576B6"/>
    <w:rsid w:val="00D57CBB"/>
    <w:rsid w:val="00D637E9"/>
    <w:rsid w:val="00D63ADB"/>
    <w:rsid w:val="00D63F3F"/>
    <w:rsid w:val="00D65FCA"/>
    <w:rsid w:val="00D6713C"/>
    <w:rsid w:val="00D67C5E"/>
    <w:rsid w:val="00D706CB"/>
    <w:rsid w:val="00D7180C"/>
    <w:rsid w:val="00D73599"/>
    <w:rsid w:val="00D749A6"/>
    <w:rsid w:val="00D7621D"/>
    <w:rsid w:val="00D775BA"/>
    <w:rsid w:val="00D775DB"/>
    <w:rsid w:val="00D77AC5"/>
    <w:rsid w:val="00D8244E"/>
    <w:rsid w:val="00D842C8"/>
    <w:rsid w:val="00D84CEB"/>
    <w:rsid w:val="00D85BFF"/>
    <w:rsid w:val="00D86355"/>
    <w:rsid w:val="00D918D8"/>
    <w:rsid w:val="00D920A6"/>
    <w:rsid w:val="00D92BF3"/>
    <w:rsid w:val="00D97B37"/>
    <w:rsid w:val="00DA1CF4"/>
    <w:rsid w:val="00DA322D"/>
    <w:rsid w:val="00DA3D11"/>
    <w:rsid w:val="00DA4D75"/>
    <w:rsid w:val="00DA505C"/>
    <w:rsid w:val="00DB005D"/>
    <w:rsid w:val="00DB05D5"/>
    <w:rsid w:val="00DB348D"/>
    <w:rsid w:val="00DB40E4"/>
    <w:rsid w:val="00DC05C6"/>
    <w:rsid w:val="00DC33D5"/>
    <w:rsid w:val="00DC5782"/>
    <w:rsid w:val="00DD2431"/>
    <w:rsid w:val="00DD797A"/>
    <w:rsid w:val="00DE2712"/>
    <w:rsid w:val="00DE6CB3"/>
    <w:rsid w:val="00DE6FC7"/>
    <w:rsid w:val="00DE785F"/>
    <w:rsid w:val="00DE7972"/>
    <w:rsid w:val="00DF11E0"/>
    <w:rsid w:val="00DF2232"/>
    <w:rsid w:val="00DF5512"/>
    <w:rsid w:val="00E00955"/>
    <w:rsid w:val="00E02097"/>
    <w:rsid w:val="00E037D5"/>
    <w:rsid w:val="00E03D60"/>
    <w:rsid w:val="00E04C61"/>
    <w:rsid w:val="00E14180"/>
    <w:rsid w:val="00E15E4D"/>
    <w:rsid w:val="00E16485"/>
    <w:rsid w:val="00E2096E"/>
    <w:rsid w:val="00E233F5"/>
    <w:rsid w:val="00E30099"/>
    <w:rsid w:val="00E3308F"/>
    <w:rsid w:val="00E33F9F"/>
    <w:rsid w:val="00E3798B"/>
    <w:rsid w:val="00E412ED"/>
    <w:rsid w:val="00E41501"/>
    <w:rsid w:val="00E41AC3"/>
    <w:rsid w:val="00E42B46"/>
    <w:rsid w:val="00E44FA9"/>
    <w:rsid w:val="00E45F43"/>
    <w:rsid w:val="00E467E4"/>
    <w:rsid w:val="00E47FF2"/>
    <w:rsid w:val="00E50219"/>
    <w:rsid w:val="00E508A1"/>
    <w:rsid w:val="00E51813"/>
    <w:rsid w:val="00E53AC8"/>
    <w:rsid w:val="00E555A1"/>
    <w:rsid w:val="00E567DB"/>
    <w:rsid w:val="00E6139B"/>
    <w:rsid w:val="00E63313"/>
    <w:rsid w:val="00E636A0"/>
    <w:rsid w:val="00E64469"/>
    <w:rsid w:val="00E64FA4"/>
    <w:rsid w:val="00E6797F"/>
    <w:rsid w:val="00E67FE0"/>
    <w:rsid w:val="00E712AC"/>
    <w:rsid w:val="00E7407E"/>
    <w:rsid w:val="00E7536F"/>
    <w:rsid w:val="00E7574E"/>
    <w:rsid w:val="00E766CA"/>
    <w:rsid w:val="00E772FA"/>
    <w:rsid w:val="00E77F1D"/>
    <w:rsid w:val="00E80131"/>
    <w:rsid w:val="00E80F03"/>
    <w:rsid w:val="00E829ED"/>
    <w:rsid w:val="00E838A2"/>
    <w:rsid w:val="00E932F8"/>
    <w:rsid w:val="00E956A7"/>
    <w:rsid w:val="00E96275"/>
    <w:rsid w:val="00E96335"/>
    <w:rsid w:val="00E976B8"/>
    <w:rsid w:val="00EA2610"/>
    <w:rsid w:val="00EA28FE"/>
    <w:rsid w:val="00EA2A44"/>
    <w:rsid w:val="00EA2A91"/>
    <w:rsid w:val="00EA2ECB"/>
    <w:rsid w:val="00EA6911"/>
    <w:rsid w:val="00EA7CF1"/>
    <w:rsid w:val="00EB0206"/>
    <w:rsid w:val="00EB4254"/>
    <w:rsid w:val="00EB4466"/>
    <w:rsid w:val="00EB65C1"/>
    <w:rsid w:val="00EC2C88"/>
    <w:rsid w:val="00EC30A2"/>
    <w:rsid w:val="00EC3DB7"/>
    <w:rsid w:val="00EC4476"/>
    <w:rsid w:val="00EC59D9"/>
    <w:rsid w:val="00ED0399"/>
    <w:rsid w:val="00ED1577"/>
    <w:rsid w:val="00ED172E"/>
    <w:rsid w:val="00ED391E"/>
    <w:rsid w:val="00ED4647"/>
    <w:rsid w:val="00ED60D0"/>
    <w:rsid w:val="00EE0295"/>
    <w:rsid w:val="00EE3E78"/>
    <w:rsid w:val="00EE676F"/>
    <w:rsid w:val="00EF12FD"/>
    <w:rsid w:val="00EF3980"/>
    <w:rsid w:val="00EF5ECD"/>
    <w:rsid w:val="00EF7017"/>
    <w:rsid w:val="00EF7668"/>
    <w:rsid w:val="00EF7C6C"/>
    <w:rsid w:val="00F0135A"/>
    <w:rsid w:val="00F0377F"/>
    <w:rsid w:val="00F03901"/>
    <w:rsid w:val="00F03FB0"/>
    <w:rsid w:val="00F05330"/>
    <w:rsid w:val="00F1640E"/>
    <w:rsid w:val="00F20CD7"/>
    <w:rsid w:val="00F22E9A"/>
    <w:rsid w:val="00F2311B"/>
    <w:rsid w:val="00F37703"/>
    <w:rsid w:val="00F5587C"/>
    <w:rsid w:val="00F55A20"/>
    <w:rsid w:val="00F56568"/>
    <w:rsid w:val="00F575CE"/>
    <w:rsid w:val="00F646E9"/>
    <w:rsid w:val="00F66A26"/>
    <w:rsid w:val="00F704EE"/>
    <w:rsid w:val="00F713D0"/>
    <w:rsid w:val="00F719F5"/>
    <w:rsid w:val="00F72C75"/>
    <w:rsid w:val="00F72D56"/>
    <w:rsid w:val="00F73878"/>
    <w:rsid w:val="00F73917"/>
    <w:rsid w:val="00F77E15"/>
    <w:rsid w:val="00F821B8"/>
    <w:rsid w:val="00F90F5B"/>
    <w:rsid w:val="00F91020"/>
    <w:rsid w:val="00F91C1C"/>
    <w:rsid w:val="00F92A60"/>
    <w:rsid w:val="00F9626D"/>
    <w:rsid w:val="00FA0A30"/>
    <w:rsid w:val="00FA0EA1"/>
    <w:rsid w:val="00FA1130"/>
    <w:rsid w:val="00FA150C"/>
    <w:rsid w:val="00FA37F2"/>
    <w:rsid w:val="00FA43C3"/>
    <w:rsid w:val="00FA4DCD"/>
    <w:rsid w:val="00FA69A9"/>
    <w:rsid w:val="00FA74AC"/>
    <w:rsid w:val="00FB30C2"/>
    <w:rsid w:val="00FB75D1"/>
    <w:rsid w:val="00FC1ABE"/>
    <w:rsid w:val="00FC2978"/>
    <w:rsid w:val="00FC335E"/>
    <w:rsid w:val="00FC4615"/>
    <w:rsid w:val="00FC4CFB"/>
    <w:rsid w:val="00FC6EFE"/>
    <w:rsid w:val="00FD03F2"/>
    <w:rsid w:val="00FD20E8"/>
    <w:rsid w:val="00FD3017"/>
    <w:rsid w:val="00FD62D7"/>
    <w:rsid w:val="00FD7080"/>
    <w:rsid w:val="00FE113C"/>
    <w:rsid w:val="00FE1C38"/>
    <w:rsid w:val="00FE1F46"/>
    <w:rsid w:val="00FE79E3"/>
    <w:rsid w:val="00FF0181"/>
    <w:rsid w:val="00FF0D4B"/>
    <w:rsid w:val="00FF1C15"/>
    <w:rsid w:val="00FF4BB4"/>
    <w:rsid w:val="017B7081"/>
    <w:rsid w:val="01B074E7"/>
    <w:rsid w:val="01EB72AD"/>
    <w:rsid w:val="03931BF6"/>
    <w:rsid w:val="041D60CD"/>
    <w:rsid w:val="05002FE6"/>
    <w:rsid w:val="06BE1073"/>
    <w:rsid w:val="07442D37"/>
    <w:rsid w:val="07771B2C"/>
    <w:rsid w:val="07D92129"/>
    <w:rsid w:val="08A54BA6"/>
    <w:rsid w:val="0E1558E3"/>
    <w:rsid w:val="0E1A7FF0"/>
    <w:rsid w:val="0E2C6B90"/>
    <w:rsid w:val="0E3F3602"/>
    <w:rsid w:val="0ECB7899"/>
    <w:rsid w:val="0F1C2B49"/>
    <w:rsid w:val="0F7A5BF2"/>
    <w:rsid w:val="104F11F6"/>
    <w:rsid w:val="107A4AF5"/>
    <w:rsid w:val="115076EC"/>
    <w:rsid w:val="115563B3"/>
    <w:rsid w:val="128D5694"/>
    <w:rsid w:val="129357F6"/>
    <w:rsid w:val="12CF0351"/>
    <w:rsid w:val="130E221C"/>
    <w:rsid w:val="13871174"/>
    <w:rsid w:val="14E3404B"/>
    <w:rsid w:val="168027F2"/>
    <w:rsid w:val="16CA4F82"/>
    <w:rsid w:val="180D0969"/>
    <w:rsid w:val="1829141C"/>
    <w:rsid w:val="18B118D8"/>
    <w:rsid w:val="19133706"/>
    <w:rsid w:val="1A091A28"/>
    <w:rsid w:val="1AB500FB"/>
    <w:rsid w:val="1BF6289B"/>
    <w:rsid w:val="1C75133F"/>
    <w:rsid w:val="1C8A7A95"/>
    <w:rsid w:val="1D107D40"/>
    <w:rsid w:val="1D8A357B"/>
    <w:rsid w:val="1EB07752"/>
    <w:rsid w:val="1F1E159F"/>
    <w:rsid w:val="1F61453F"/>
    <w:rsid w:val="210F7D0C"/>
    <w:rsid w:val="215962CB"/>
    <w:rsid w:val="216555B6"/>
    <w:rsid w:val="22ED5DB4"/>
    <w:rsid w:val="237F6E8F"/>
    <w:rsid w:val="2A6164D4"/>
    <w:rsid w:val="2AAE5334"/>
    <w:rsid w:val="2AD22DB3"/>
    <w:rsid w:val="2B9750BF"/>
    <w:rsid w:val="2BCE186D"/>
    <w:rsid w:val="2F9E0221"/>
    <w:rsid w:val="30106DD1"/>
    <w:rsid w:val="34773331"/>
    <w:rsid w:val="34AE08B7"/>
    <w:rsid w:val="35C0034A"/>
    <w:rsid w:val="373327A7"/>
    <w:rsid w:val="37AC0717"/>
    <w:rsid w:val="37F06E46"/>
    <w:rsid w:val="38645535"/>
    <w:rsid w:val="3AC06AFC"/>
    <w:rsid w:val="3B715888"/>
    <w:rsid w:val="3C4D551D"/>
    <w:rsid w:val="3C8D517D"/>
    <w:rsid w:val="3D6F67BB"/>
    <w:rsid w:val="3D7F0FBE"/>
    <w:rsid w:val="3DE848F9"/>
    <w:rsid w:val="3F6007A1"/>
    <w:rsid w:val="3FC528D6"/>
    <w:rsid w:val="418F0956"/>
    <w:rsid w:val="41B12763"/>
    <w:rsid w:val="41B837DB"/>
    <w:rsid w:val="43352CB1"/>
    <w:rsid w:val="438824B7"/>
    <w:rsid w:val="43AD1837"/>
    <w:rsid w:val="44976E89"/>
    <w:rsid w:val="44D322D8"/>
    <w:rsid w:val="44E966ED"/>
    <w:rsid w:val="453169F4"/>
    <w:rsid w:val="45673069"/>
    <w:rsid w:val="456A767C"/>
    <w:rsid w:val="460B3A32"/>
    <w:rsid w:val="48C561E7"/>
    <w:rsid w:val="4D566CFB"/>
    <w:rsid w:val="4DD96002"/>
    <w:rsid w:val="4E586911"/>
    <w:rsid w:val="4F2F00A1"/>
    <w:rsid w:val="4F4A54C7"/>
    <w:rsid w:val="4FD0029B"/>
    <w:rsid w:val="50170BDF"/>
    <w:rsid w:val="509A56EB"/>
    <w:rsid w:val="5287260D"/>
    <w:rsid w:val="52CF2B08"/>
    <w:rsid w:val="539E01DF"/>
    <w:rsid w:val="53EF5C37"/>
    <w:rsid w:val="55AA7F3C"/>
    <w:rsid w:val="55BF4EA7"/>
    <w:rsid w:val="586D489F"/>
    <w:rsid w:val="592601CB"/>
    <w:rsid w:val="593C6DF1"/>
    <w:rsid w:val="59671682"/>
    <w:rsid w:val="59814974"/>
    <w:rsid w:val="59CC10D6"/>
    <w:rsid w:val="59CF6DC5"/>
    <w:rsid w:val="5B074BAE"/>
    <w:rsid w:val="5BAE7BDB"/>
    <w:rsid w:val="5D466FA8"/>
    <w:rsid w:val="5D836FC1"/>
    <w:rsid w:val="5DD053A9"/>
    <w:rsid w:val="5F7C7E9E"/>
    <w:rsid w:val="600C7DFA"/>
    <w:rsid w:val="60637E46"/>
    <w:rsid w:val="614E2200"/>
    <w:rsid w:val="63AD374D"/>
    <w:rsid w:val="662E5099"/>
    <w:rsid w:val="66653796"/>
    <w:rsid w:val="668615B0"/>
    <w:rsid w:val="66CF1C90"/>
    <w:rsid w:val="68197495"/>
    <w:rsid w:val="6872137F"/>
    <w:rsid w:val="6ABA47E9"/>
    <w:rsid w:val="6B943BC5"/>
    <w:rsid w:val="6BD92F17"/>
    <w:rsid w:val="6C906205"/>
    <w:rsid w:val="6D204DB6"/>
    <w:rsid w:val="6D23481F"/>
    <w:rsid w:val="6D923B3B"/>
    <w:rsid w:val="6D975A4D"/>
    <w:rsid w:val="6F320E8F"/>
    <w:rsid w:val="6F5E2DA4"/>
    <w:rsid w:val="6F8A5664"/>
    <w:rsid w:val="6FAD6C72"/>
    <w:rsid w:val="6FED07C6"/>
    <w:rsid w:val="72A92199"/>
    <w:rsid w:val="742101BE"/>
    <w:rsid w:val="74407195"/>
    <w:rsid w:val="74955C08"/>
    <w:rsid w:val="74B91F30"/>
    <w:rsid w:val="74DC45EC"/>
    <w:rsid w:val="76FB1430"/>
    <w:rsid w:val="76FB7F75"/>
    <w:rsid w:val="77F059DE"/>
    <w:rsid w:val="78360105"/>
    <w:rsid w:val="78CB4CE6"/>
    <w:rsid w:val="790D0281"/>
    <w:rsid w:val="7945317E"/>
    <w:rsid w:val="7B6577DF"/>
    <w:rsid w:val="7D797C44"/>
    <w:rsid w:val="7D916BBB"/>
    <w:rsid w:val="7E4562F6"/>
    <w:rsid w:val="7E540A75"/>
    <w:rsid w:val="7EAD0DF7"/>
    <w:rsid w:val="7FD32F26"/>
    <w:rsid w:val="9F66C057"/>
    <w:rsid w:val="D9DE0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zh-CN" w:bidi="ar-SA"/>
    </w:rPr>
  </w:style>
  <w:style w:type="paragraph" w:styleId="3">
    <w:name w:val="heading 1"/>
    <w:basedOn w:val="1"/>
    <w:next w:val="1"/>
    <w:link w:val="32"/>
    <w:qFormat/>
    <w:uiPriority w:val="0"/>
    <w:pPr>
      <w:keepNext/>
      <w:keepLines/>
      <w:spacing w:beforeLines="50" w:afterLines="50" w:line="360" w:lineRule="auto"/>
      <w:jc w:val="center"/>
      <w:outlineLvl w:val="0"/>
    </w:pPr>
    <w:rPr>
      <w:rFonts w:eastAsia="楷体"/>
      <w:b/>
      <w:bCs/>
      <w:kern w:val="44"/>
      <w:sz w:val="32"/>
      <w:szCs w:val="32"/>
    </w:rPr>
  </w:style>
  <w:style w:type="paragraph" w:styleId="4">
    <w:name w:val="heading 2"/>
    <w:basedOn w:val="1"/>
    <w:next w:val="1"/>
    <w:link w:val="4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5"/>
    <w:unhideWhenUsed/>
    <w:qFormat/>
    <w:uiPriority w:val="9"/>
    <w:pPr>
      <w:keepNext/>
      <w:keepLines/>
      <w:spacing w:before="260" w:after="260" w:line="416" w:lineRule="auto"/>
      <w:outlineLvl w:val="2"/>
    </w:pPr>
    <w:rPr>
      <w:rFonts w:eastAsia="等线"/>
      <w:b/>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Plain Text"/>
    <w:basedOn w:val="1"/>
    <w:next w:val="1"/>
    <w:link w:val="35"/>
    <w:qFormat/>
    <w:uiPriority w:val="0"/>
    <w:pPr>
      <w:spacing w:beforeLines="50" w:afterLines="50" w:line="360" w:lineRule="auto"/>
      <w:ind w:left="200" w:leftChars="200"/>
    </w:pPr>
    <w:rPr>
      <w:rFonts w:eastAsia="楷体" w:cstheme="minorBidi"/>
      <w:kern w:val="2"/>
    </w:rPr>
  </w:style>
  <w:style w:type="paragraph" w:styleId="6">
    <w:name w:val="toc 7"/>
    <w:basedOn w:val="1"/>
    <w:next w:val="1"/>
    <w:unhideWhenUsed/>
    <w:qFormat/>
    <w:uiPriority w:val="39"/>
    <w:pPr>
      <w:ind w:left="1440"/>
    </w:pPr>
  </w:style>
  <w:style w:type="paragraph" w:styleId="7">
    <w:name w:val="Document Map"/>
    <w:basedOn w:val="1"/>
    <w:link w:val="53"/>
    <w:unhideWhenUsed/>
    <w:qFormat/>
    <w:uiPriority w:val="99"/>
    <w:rPr>
      <w:rFonts w:ascii="宋体" w:eastAsia="宋体"/>
    </w:rPr>
  </w:style>
  <w:style w:type="paragraph" w:styleId="8">
    <w:name w:val="toa heading"/>
    <w:basedOn w:val="1"/>
    <w:next w:val="1"/>
    <w:unhideWhenUsed/>
    <w:qFormat/>
    <w:uiPriority w:val="99"/>
    <w:pPr>
      <w:widowControl w:val="0"/>
      <w:spacing w:before="120"/>
      <w:jc w:val="both"/>
    </w:pPr>
    <w:rPr>
      <w:rFonts w:ascii="Cambria" w:hAnsi="Cambria" w:eastAsia="宋体"/>
      <w:kern w:val="2"/>
    </w:rPr>
  </w:style>
  <w:style w:type="paragraph" w:styleId="9">
    <w:name w:val="annotation text"/>
    <w:basedOn w:val="5"/>
    <w:next w:val="1"/>
    <w:link w:val="33"/>
    <w:qFormat/>
    <w:uiPriority w:val="0"/>
    <w:pPr>
      <w:spacing w:beforeLines="50" w:afterLines="50" w:line="360" w:lineRule="auto"/>
      <w:ind w:left="200" w:leftChars="200"/>
      <w:jc w:val="both"/>
    </w:pPr>
    <w:rPr>
      <w:rFonts w:eastAsia="楷体" w:cstheme="minorBidi"/>
      <w:kern w:val="2"/>
      <w:sz w:val="24"/>
      <w:szCs w:val="24"/>
    </w:rPr>
  </w:style>
  <w:style w:type="paragraph" w:styleId="10">
    <w:name w:val="Body Text"/>
    <w:basedOn w:val="1"/>
    <w:link w:val="59"/>
    <w:unhideWhenUsed/>
    <w:qFormat/>
    <w:uiPriority w:val="99"/>
    <w:pPr>
      <w:spacing w:after="120"/>
    </w:pPr>
  </w:style>
  <w:style w:type="paragraph" w:styleId="11">
    <w:name w:val="toc 5"/>
    <w:basedOn w:val="1"/>
    <w:next w:val="1"/>
    <w:unhideWhenUsed/>
    <w:qFormat/>
    <w:uiPriority w:val="39"/>
    <w:pPr>
      <w:ind w:left="960"/>
    </w:pPr>
  </w:style>
  <w:style w:type="paragraph" w:styleId="12">
    <w:name w:val="toc 3"/>
    <w:basedOn w:val="1"/>
    <w:next w:val="1"/>
    <w:unhideWhenUsed/>
    <w:qFormat/>
    <w:uiPriority w:val="39"/>
    <w:pPr>
      <w:spacing w:line="360" w:lineRule="auto"/>
      <w:ind w:left="400" w:leftChars="400"/>
    </w:pPr>
    <w:rPr>
      <w:rFonts w:eastAsia="宋体"/>
      <w:szCs w:val="22"/>
    </w:rPr>
  </w:style>
  <w:style w:type="paragraph" w:styleId="13">
    <w:name w:val="toc 8"/>
    <w:basedOn w:val="1"/>
    <w:next w:val="1"/>
    <w:unhideWhenUsed/>
    <w:qFormat/>
    <w:uiPriority w:val="39"/>
    <w:pPr>
      <w:ind w:left="1680"/>
    </w:pPr>
  </w:style>
  <w:style w:type="paragraph" w:styleId="14">
    <w:name w:val="Balloon Text"/>
    <w:basedOn w:val="1"/>
    <w:link w:val="46"/>
    <w:unhideWhenUsed/>
    <w:qFormat/>
    <w:uiPriority w:val="99"/>
    <w:rPr>
      <w:sz w:val="18"/>
      <w:szCs w:val="18"/>
    </w:rPr>
  </w:style>
  <w:style w:type="paragraph" w:styleId="15">
    <w:name w:val="footer"/>
    <w:basedOn w:val="1"/>
    <w:link w:val="34"/>
    <w:unhideWhenUsed/>
    <w:qFormat/>
    <w:uiPriority w:val="99"/>
    <w:pPr>
      <w:tabs>
        <w:tab w:val="center" w:pos="4153"/>
        <w:tab w:val="right" w:pos="8306"/>
      </w:tabs>
      <w:snapToGrid w:val="0"/>
    </w:pPr>
    <w:rPr>
      <w:rFonts w:ascii="Calibri" w:hAnsi="Calibri" w:eastAsia="宋体" w:cstheme="minorBidi"/>
      <w:kern w:val="2"/>
      <w:sz w:val="18"/>
      <w:szCs w:val="18"/>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rFonts w:ascii="Calibri" w:hAnsi="Calibri" w:eastAsia="宋体" w:cstheme="minorBidi"/>
      <w:kern w:val="2"/>
      <w:sz w:val="18"/>
      <w:szCs w:val="18"/>
    </w:rPr>
  </w:style>
  <w:style w:type="paragraph" w:styleId="17">
    <w:name w:val="toc 1"/>
    <w:basedOn w:val="1"/>
    <w:next w:val="1"/>
    <w:qFormat/>
    <w:uiPriority w:val="39"/>
    <w:pPr>
      <w:spacing w:line="360" w:lineRule="auto"/>
    </w:pPr>
    <w:rPr>
      <w:rFonts w:eastAsia="等线"/>
    </w:rPr>
  </w:style>
  <w:style w:type="paragraph" w:styleId="18">
    <w:name w:val="toc 4"/>
    <w:basedOn w:val="1"/>
    <w:next w:val="1"/>
    <w:unhideWhenUsed/>
    <w:qFormat/>
    <w:uiPriority w:val="39"/>
    <w:pPr>
      <w:ind w:left="720"/>
    </w:pPr>
  </w:style>
  <w:style w:type="paragraph" w:styleId="19">
    <w:name w:val="toc 6"/>
    <w:basedOn w:val="1"/>
    <w:next w:val="1"/>
    <w:unhideWhenUsed/>
    <w:qFormat/>
    <w:uiPriority w:val="39"/>
    <w:pPr>
      <w:ind w:left="1200"/>
    </w:pPr>
  </w:style>
  <w:style w:type="paragraph" w:styleId="20">
    <w:name w:val="toc 2"/>
    <w:basedOn w:val="1"/>
    <w:next w:val="1"/>
    <w:qFormat/>
    <w:uiPriority w:val="39"/>
    <w:pPr>
      <w:spacing w:line="360" w:lineRule="auto"/>
      <w:ind w:left="200" w:leftChars="200"/>
    </w:pPr>
    <w:rPr>
      <w:rFonts w:eastAsia="等线"/>
    </w:rPr>
  </w:style>
  <w:style w:type="paragraph" w:styleId="21">
    <w:name w:val="toc 9"/>
    <w:basedOn w:val="1"/>
    <w:next w:val="1"/>
    <w:unhideWhenUsed/>
    <w:qFormat/>
    <w:uiPriority w:val="39"/>
    <w:pPr>
      <w:ind w:left="1920"/>
    </w:pPr>
  </w:style>
  <w:style w:type="paragraph" w:styleId="22">
    <w:name w:val="Normal (Web)"/>
    <w:basedOn w:val="1"/>
    <w:unhideWhenUsed/>
    <w:qFormat/>
    <w:uiPriority w:val="99"/>
  </w:style>
  <w:style w:type="paragraph" w:styleId="23">
    <w:name w:val="Title"/>
    <w:basedOn w:val="1"/>
    <w:next w:val="1"/>
    <w:link w:val="50"/>
    <w:qFormat/>
    <w:uiPriority w:val="10"/>
    <w:pPr>
      <w:spacing w:before="240" w:after="60"/>
      <w:jc w:val="center"/>
      <w:outlineLvl w:val="0"/>
    </w:pPr>
    <w:rPr>
      <w:rFonts w:eastAsia="宋体" w:asciiTheme="majorHAnsi" w:hAnsiTheme="majorHAnsi" w:cstheme="majorBidi"/>
      <w:b/>
      <w:bCs/>
      <w:sz w:val="32"/>
      <w:szCs w:val="32"/>
    </w:rPr>
  </w:style>
  <w:style w:type="paragraph" w:styleId="24">
    <w:name w:val="annotation subject"/>
    <w:basedOn w:val="9"/>
    <w:next w:val="9"/>
    <w:link w:val="47"/>
    <w:unhideWhenUsed/>
    <w:qFormat/>
    <w:uiPriority w:val="99"/>
    <w:pPr>
      <w:keepNext w:val="0"/>
      <w:keepLines w:val="0"/>
      <w:spacing w:beforeLines="0" w:afterLines="0" w:line="240" w:lineRule="auto"/>
      <w:ind w:left="0" w:leftChars="0"/>
      <w:jc w:val="left"/>
      <w:outlineLvl w:val="9"/>
    </w:pPr>
    <w:rPr>
      <w:rFonts w:cs="Times New Roman" w:eastAsiaTheme="minorEastAsia"/>
      <w:kern w:val="0"/>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page number"/>
    <w:unhideWhenUsed/>
    <w:qFormat/>
    <w:uiPriority w:val="99"/>
  </w:style>
  <w:style w:type="character" w:styleId="29">
    <w:name w:val="FollowedHyperlink"/>
    <w:basedOn w:val="27"/>
    <w:unhideWhenUsed/>
    <w:qFormat/>
    <w:uiPriority w:val="99"/>
    <w:rPr>
      <w:color w:val="555555"/>
      <w:u w:val="none"/>
    </w:rPr>
  </w:style>
  <w:style w:type="character" w:styleId="30">
    <w:name w:val="Hyperlink"/>
    <w:unhideWhenUsed/>
    <w:qFormat/>
    <w:uiPriority w:val="99"/>
    <w:rPr>
      <w:color w:val="0563C1"/>
      <w:u w:val="single"/>
    </w:rPr>
  </w:style>
  <w:style w:type="character" w:styleId="31">
    <w:name w:val="annotation reference"/>
    <w:basedOn w:val="27"/>
    <w:unhideWhenUsed/>
    <w:qFormat/>
    <w:uiPriority w:val="99"/>
    <w:rPr>
      <w:sz w:val="21"/>
      <w:szCs w:val="21"/>
    </w:rPr>
  </w:style>
  <w:style w:type="character" w:customStyle="1" w:styleId="32">
    <w:name w:val="标题 1 字符"/>
    <w:basedOn w:val="27"/>
    <w:link w:val="3"/>
    <w:qFormat/>
    <w:uiPriority w:val="0"/>
    <w:rPr>
      <w:rFonts w:ascii="Times New Roman" w:hAnsi="Times New Roman" w:eastAsia="楷体" w:cs="Times New Roman"/>
      <w:b/>
      <w:bCs/>
      <w:kern w:val="44"/>
      <w:sz w:val="32"/>
      <w:szCs w:val="32"/>
    </w:rPr>
  </w:style>
  <w:style w:type="character" w:customStyle="1" w:styleId="33">
    <w:name w:val="批注文字 字符"/>
    <w:link w:val="9"/>
    <w:qFormat/>
    <w:uiPriority w:val="0"/>
    <w:rPr>
      <w:rFonts w:ascii="Times New Roman" w:hAnsi="Times New Roman" w:eastAsia="楷体"/>
      <w:b/>
      <w:bCs/>
    </w:rPr>
  </w:style>
  <w:style w:type="character" w:customStyle="1" w:styleId="34">
    <w:name w:val="页脚 字符"/>
    <w:link w:val="15"/>
    <w:qFormat/>
    <w:uiPriority w:val="99"/>
    <w:rPr>
      <w:rFonts w:ascii="Calibri" w:hAnsi="Calibri" w:eastAsia="宋体"/>
      <w:sz w:val="18"/>
      <w:szCs w:val="18"/>
    </w:rPr>
  </w:style>
  <w:style w:type="character" w:customStyle="1" w:styleId="35">
    <w:name w:val="纯文本 字符"/>
    <w:link w:val="2"/>
    <w:qFormat/>
    <w:uiPriority w:val="0"/>
    <w:rPr>
      <w:rFonts w:ascii="Times New Roman" w:hAnsi="Times New Roman" w:eastAsia="楷体"/>
      <w:b/>
      <w:bCs/>
    </w:rPr>
  </w:style>
  <w:style w:type="character" w:customStyle="1" w:styleId="36">
    <w:name w:val="页眉 字符"/>
    <w:link w:val="16"/>
    <w:qFormat/>
    <w:uiPriority w:val="99"/>
    <w:rPr>
      <w:rFonts w:ascii="Calibri" w:hAnsi="Calibri" w:eastAsia="宋体"/>
      <w:sz w:val="18"/>
      <w:szCs w:val="18"/>
    </w:rPr>
  </w:style>
  <w:style w:type="character" w:customStyle="1" w:styleId="37">
    <w:name w:val="纯文本字符1"/>
    <w:basedOn w:val="27"/>
    <w:semiHidden/>
    <w:qFormat/>
    <w:uiPriority w:val="99"/>
    <w:rPr>
      <w:rFonts w:ascii="宋体" w:hAnsi="Courier" w:eastAsia="宋体" w:cs="Times New Roman"/>
      <w:kern w:val="0"/>
    </w:rPr>
  </w:style>
  <w:style w:type="character" w:customStyle="1" w:styleId="38">
    <w:name w:val="批注文字字符1"/>
    <w:basedOn w:val="27"/>
    <w:semiHidden/>
    <w:qFormat/>
    <w:uiPriority w:val="99"/>
    <w:rPr>
      <w:rFonts w:ascii="Times New Roman" w:hAnsi="Times New Roman" w:eastAsia="等线" w:cs="Times New Roman"/>
      <w:kern w:val="0"/>
    </w:rPr>
  </w:style>
  <w:style w:type="character" w:customStyle="1" w:styleId="39">
    <w:name w:val="页脚字符1"/>
    <w:basedOn w:val="27"/>
    <w:semiHidden/>
    <w:qFormat/>
    <w:uiPriority w:val="99"/>
    <w:rPr>
      <w:rFonts w:ascii="Times New Roman" w:hAnsi="Times New Roman" w:eastAsia="等线" w:cs="Times New Roman"/>
      <w:kern w:val="0"/>
      <w:sz w:val="18"/>
      <w:szCs w:val="18"/>
    </w:rPr>
  </w:style>
  <w:style w:type="character" w:customStyle="1" w:styleId="40">
    <w:name w:val="页眉字符1"/>
    <w:basedOn w:val="27"/>
    <w:semiHidden/>
    <w:qFormat/>
    <w:uiPriority w:val="99"/>
    <w:rPr>
      <w:rFonts w:ascii="Times New Roman" w:hAnsi="Times New Roman" w:eastAsia="等线" w:cs="Times New Roman"/>
      <w:kern w:val="0"/>
      <w:sz w:val="18"/>
      <w:szCs w:val="18"/>
    </w:rPr>
  </w:style>
  <w:style w:type="paragraph" w:customStyle="1" w:styleId="41">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42">
    <w:name w:val="目录标题1"/>
    <w:basedOn w:val="3"/>
    <w:next w:val="1"/>
    <w:qFormat/>
    <w:uiPriority w:val="39"/>
    <w:pPr>
      <w:spacing w:before="480" w:line="276" w:lineRule="auto"/>
      <w:jc w:val="left"/>
      <w:outlineLvl w:val="9"/>
    </w:pPr>
    <w:rPr>
      <w:rFonts w:ascii="等线 Light" w:hAnsi="等线 Light" w:eastAsia="等线 Light"/>
      <w:bCs w:val="0"/>
      <w:color w:val="2E74B5"/>
      <w:kern w:val="0"/>
      <w:sz w:val="28"/>
      <w:szCs w:val="28"/>
    </w:rPr>
  </w:style>
  <w:style w:type="paragraph" w:customStyle="1" w:styleId="43">
    <w:name w:val="彩色列表 - 强调文字颜色 11"/>
    <w:basedOn w:val="1"/>
    <w:qFormat/>
    <w:uiPriority w:val="34"/>
    <w:pPr>
      <w:ind w:firstLine="420" w:firstLineChars="200"/>
    </w:pPr>
    <w:rPr>
      <w:rFonts w:eastAsia="等线"/>
    </w:rPr>
  </w:style>
  <w:style w:type="character" w:customStyle="1" w:styleId="44">
    <w:name w:val="标题 2 字符"/>
    <w:basedOn w:val="27"/>
    <w:link w:val="4"/>
    <w:semiHidden/>
    <w:qFormat/>
    <w:uiPriority w:val="9"/>
    <w:rPr>
      <w:rFonts w:asciiTheme="majorHAnsi" w:hAnsiTheme="majorHAnsi" w:eastAsiaTheme="majorEastAsia" w:cstheme="majorBidi"/>
      <w:b/>
      <w:bCs/>
      <w:kern w:val="0"/>
      <w:sz w:val="32"/>
      <w:szCs w:val="32"/>
    </w:rPr>
  </w:style>
  <w:style w:type="character" w:customStyle="1" w:styleId="45">
    <w:name w:val="标题 3 字符"/>
    <w:basedOn w:val="27"/>
    <w:link w:val="5"/>
    <w:semiHidden/>
    <w:qFormat/>
    <w:uiPriority w:val="9"/>
    <w:rPr>
      <w:rFonts w:ascii="Times New Roman" w:hAnsi="Times New Roman" w:eastAsia="等线" w:cs="Times New Roman"/>
      <w:b/>
      <w:bCs/>
      <w:kern w:val="0"/>
      <w:sz w:val="32"/>
      <w:szCs w:val="32"/>
    </w:rPr>
  </w:style>
  <w:style w:type="character" w:customStyle="1" w:styleId="46">
    <w:name w:val="批注框文本 字符"/>
    <w:basedOn w:val="27"/>
    <w:link w:val="14"/>
    <w:semiHidden/>
    <w:qFormat/>
    <w:uiPriority w:val="99"/>
    <w:rPr>
      <w:rFonts w:ascii="Times New Roman" w:hAnsi="Times New Roman" w:eastAsia="等线" w:cs="Times New Roman"/>
      <w:kern w:val="0"/>
      <w:sz w:val="18"/>
      <w:szCs w:val="18"/>
    </w:rPr>
  </w:style>
  <w:style w:type="character" w:customStyle="1" w:styleId="47">
    <w:name w:val="批注主题 字符"/>
    <w:basedOn w:val="33"/>
    <w:link w:val="24"/>
    <w:semiHidden/>
    <w:qFormat/>
    <w:uiPriority w:val="99"/>
    <w:rPr>
      <w:rFonts w:ascii="Times New Roman" w:hAnsi="Times New Roman" w:eastAsiaTheme="minorEastAsia"/>
      <w:sz w:val="24"/>
      <w:szCs w:val="24"/>
    </w:rPr>
  </w:style>
  <w:style w:type="character" w:customStyle="1" w:styleId="48">
    <w:name w:val="正文文本 字符"/>
    <w:basedOn w:val="27"/>
    <w:qFormat/>
    <w:uiPriority w:val="99"/>
    <w:rPr>
      <w:rFonts w:ascii="Times New Roman" w:hAnsi="Times New Roman" w:eastAsiaTheme="minorEastAsia"/>
      <w:sz w:val="24"/>
      <w:szCs w:val="24"/>
    </w:rPr>
  </w:style>
  <w:style w:type="paragraph" w:customStyle="1" w:styleId="49">
    <w:name w:val="修订1"/>
    <w:hidden/>
    <w:semiHidden/>
    <w:qFormat/>
    <w:uiPriority w:val="99"/>
    <w:rPr>
      <w:rFonts w:ascii="Times New Roman" w:hAnsi="Times New Roman" w:cs="Times New Roman" w:eastAsiaTheme="minorEastAsia"/>
      <w:sz w:val="24"/>
      <w:szCs w:val="24"/>
      <w:lang w:val="en-US" w:eastAsia="zh-CN" w:bidi="ar-SA"/>
    </w:rPr>
  </w:style>
  <w:style w:type="character" w:customStyle="1" w:styleId="50">
    <w:name w:val="标题 字符"/>
    <w:basedOn w:val="27"/>
    <w:link w:val="23"/>
    <w:qFormat/>
    <w:uiPriority w:val="10"/>
    <w:rPr>
      <w:rFonts w:asciiTheme="majorHAnsi" w:hAnsiTheme="majorHAnsi" w:cstheme="majorBidi"/>
      <w:b/>
      <w:bCs/>
      <w:sz w:val="32"/>
      <w:szCs w:val="32"/>
    </w:rPr>
  </w:style>
  <w:style w:type="paragraph" w:customStyle="1" w:styleId="51">
    <w:name w:val="5 正文"/>
    <w:basedOn w:val="1"/>
    <w:link w:val="52"/>
    <w:qFormat/>
    <w:uiPriority w:val="0"/>
    <w:pPr>
      <w:widowControl w:val="0"/>
      <w:adjustRightInd w:val="0"/>
      <w:snapToGrid w:val="0"/>
      <w:spacing w:line="360" w:lineRule="auto"/>
      <w:ind w:firstLine="200" w:firstLineChars="200"/>
      <w:jc w:val="both"/>
    </w:pPr>
    <w:rPr>
      <w:rFonts w:hAnsi="宋体" w:cs="宋体" w:asciiTheme="minorEastAsia"/>
      <w:sz w:val="28"/>
      <w:szCs w:val="28"/>
      <w:lang w:val="zh-CN"/>
    </w:rPr>
  </w:style>
  <w:style w:type="character" w:customStyle="1" w:styleId="52">
    <w:name w:val="5 正文 Char"/>
    <w:basedOn w:val="27"/>
    <w:link w:val="51"/>
    <w:qFormat/>
    <w:uiPriority w:val="0"/>
    <w:rPr>
      <w:rFonts w:hAnsi="宋体" w:cs="宋体" w:asciiTheme="minorEastAsia" w:eastAsiaTheme="minorEastAsia"/>
      <w:sz w:val="28"/>
      <w:szCs w:val="28"/>
      <w:lang w:val="zh-CN"/>
    </w:rPr>
  </w:style>
  <w:style w:type="character" w:customStyle="1" w:styleId="53">
    <w:name w:val="文档结构图 字符"/>
    <w:basedOn w:val="27"/>
    <w:link w:val="7"/>
    <w:semiHidden/>
    <w:qFormat/>
    <w:uiPriority w:val="99"/>
    <w:rPr>
      <w:rFonts w:ascii="宋体" w:hAnsi="Times New Roman"/>
      <w:sz w:val="24"/>
      <w:szCs w:val="24"/>
    </w:rPr>
  </w:style>
  <w:style w:type="paragraph" w:customStyle="1" w:styleId="54">
    <w:name w:val="列表段落1"/>
    <w:basedOn w:val="1"/>
    <w:qFormat/>
    <w:uiPriority w:val="99"/>
    <w:pPr>
      <w:ind w:firstLine="420" w:firstLineChars="200"/>
    </w:pPr>
  </w:style>
  <w:style w:type="character" w:customStyle="1" w:styleId="55">
    <w:name w:val="on"/>
    <w:basedOn w:val="27"/>
    <w:qFormat/>
    <w:uiPriority w:val="0"/>
  </w:style>
  <w:style w:type="character" w:customStyle="1" w:styleId="56">
    <w:name w:val="paymen_tips"/>
    <w:basedOn w:val="27"/>
    <w:qFormat/>
    <w:uiPriority w:val="0"/>
    <w:rPr>
      <w:color w:val="999999"/>
      <w:sz w:val="18"/>
      <w:szCs w:val="18"/>
    </w:rPr>
  </w:style>
  <w:style w:type="character" w:customStyle="1" w:styleId="57">
    <w:name w:val="paymen_tips1"/>
    <w:basedOn w:val="27"/>
    <w:qFormat/>
    <w:uiPriority w:val="0"/>
    <w:rPr>
      <w:color w:val="FF0000"/>
    </w:rPr>
  </w:style>
  <w:style w:type="character" w:customStyle="1" w:styleId="58">
    <w:name w:val="paymen"/>
    <w:basedOn w:val="27"/>
    <w:qFormat/>
    <w:uiPriority w:val="0"/>
  </w:style>
  <w:style w:type="character" w:customStyle="1" w:styleId="59">
    <w:name w:val="正文文本 字符1"/>
    <w:basedOn w:val="27"/>
    <w:link w:val="10"/>
    <w:qFormat/>
    <w:uiPriority w:val="0"/>
    <w:rPr>
      <w:rFonts w:hint="eastAsia" w:ascii="华文楷体" w:hAnsi="华文楷体" w:eastAsia="LF_Kai" w:cs="华文楷体"/>
      <w:sz w:val="24"/>
      <w:lang w:val="en-US"/>
    </w:rPr>
  </w:style>
  <w:style w:type="paragraph" w:customStyle="1" w:styleId="60">
    <w:name w:val="报告正文"/>
    <w:qFormat/>
    <w:uiPriority w:val="0"/>
    <w:pPr>
      <w:spacing w:line="560" w:lineRule="exact"/>
      <w:ind w:firstLine="643" w:firstLineChars="200"/>
    </w:pPr>
    <w:rPr>
      <w:rFonts w:ascii="仿宋_GB2312" w:hAnsi="仿宋_GB2312" w:eastAsia="仿宋_GB2312" w:cs="Times New Roman"/>
      <w:sz w:val="32"/>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a.junzejun.com/login/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1290</Words>
  <Characters>7353</Characters>
  <Lines>61</Lines>
  <Paragraphs>17</Paragraphs>
  <TotalTime>1</TotalTime>
  <ScaleCrop>false</ScaleCrop>
  <LinksUpToDate>false</LinksUpToDate>
  <CharactersWithSpaces>8626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2021-05-23T09:32:00Z</dcterms:created>
  <dc:creator>Microsoft Office 用户</dc:creator>
  <cp:lastModifiedBy>冯应斌</cp:lastModifiedBy>
  <cp:lastPrinted>2019-12-31T04:31:00Z</cp:lastPrinted>
  <dcterms:modified xsi:type="dcterms:W3CDTF">2022-02-16T21:14:22Z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6B02B56AF92F4305A321BB0A4906FCF0</vt:lpwstr>
  </property>
</Properties>
</file>