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勐海县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人民政府关于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勐海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县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水利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管理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和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保护范围划定的公告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水利工程管理与保护，按照《中华人民共和国水法》《中华人民共和国防洪法》《云南省水利工程管理条例》等法律法规及《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西双版纳州水利工程管理与保护范围划定工作方案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》要求，已完成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水利工程管理与保护范围划定工作，经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人民政府同意，现将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水利工程管理范围和保护范围公告如下：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一、划界工程范围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中小型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水库、水闸、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堤防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等水利工程。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二、水利工程划界标准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水库工程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管理范围：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水库库区为校核洪水位以下范围（含岛屿）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中型水库大坝下游坡脚和坝肩外100米；小型水库大坝下游坡脚和坝肩外50米至100米；溢洪道、泄水（涵）闸、消力池等附属建筑物两侧各10米至20米。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保护范围：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水库库区管理范围外延100米至300米。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中型水库大坝管理范围外延200米；小型水库大坝管理范围外延100米；溢洪道、泄水（涵）闸、消力池等附属建筑物管理范围外延50米至200米。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水闸工程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管理范围：大、中型拦河闸坝上游、下游100米至300米，两侧30米至50米；小型拦河闸坝上、下游50米至200米，闸坝两侧10米至30米。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保护范围：大、中型拦河闸坝管理范围外延50米至200米；小型拦河闸坝管理范围外延20米至100米。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）堤防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管理范围：大型堤防堤身和堤脚外30米至100米；中型堤防堤身和堤脚外20米至60米；小型堤防堤身和堤脚外5米至30米。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保护范围：大型堤防管理范围外延200米至300米；中型堤防管理范围外延100米至200米；小型堤防管理范围外延50米至100米。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我县本次共划定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水库工程91座，其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3座，小(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)型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16座，小(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)型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72座；水闸工程20座；堤防工程8条。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划定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工程管理与保护范围成果详细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情况请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水务局进行查询。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、在水利工程管理与保护范围内，禁止下列影响工程运行和危害工程安全的行为：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在水利工程保护范围内，禁止下列影响工程运行和危害工程安全的行为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生产、加工、储存或者销售易燃易爆、有毒有害、放射性等危险物品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爆破、打井、采石、取土、钻探、挖砂、修坟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开采矿产资源、兴建涵洞、开挖隧洞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其他可能影响工程运行、危害工程安全或者蓄水安全的行为。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 xml:space="preserve">   （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在水利工程管理范围内，除执行水利工程保护范围内禁止行为外，还应禁止下列行为：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开沟、建窑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倾倒垃圾、秸秆、废碴，堆放杂物或者掩埋污染水体的物体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擅自蓄水、引水、放水、截流、堵塞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侵占、毁坏水利工程及其附属设施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擅自操作水闸、启闭机等设备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建设与水利工程管理无关的建筑物、构筑物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炸鱼、开垦、砍伐林木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在饮用水水源地一级保护区开展水产养殖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在港口、航道、行洪河道开展水产养殖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法律、法规规定的其他禁止性行为。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四、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违反本公告规定的，依据《中华人民共和国水法》《中华人民共和国防洪法》《中华人民共和国水污染防治法》《云南省水利工程管理条例》等法律法规进行处罚。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五、本公告自发布之日起执行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各有关乡镇和县水务局按照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水利工程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管理事权划分，依法加强对管理范围内的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水利工程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进行监督管理。划定的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水利工程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管理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、保护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范围内的合法性土地与建构筑物权属暂且不变，后续如有变动依据最新文件执行。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3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3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sectPr>
      <w:footerReference r:id="rId3" w:type="default"/>
      <w:pgSz w:w="11906" w:h="16838"/>
      <w:pgMar w:top="2211" w:right="1474" w:bottom="1871" w:left="1587" w:header="851" w:footer="992" w:gutter="0"/>
      <w:pgNumType w:fmt="decimal" w:chapStyle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C9FCE7B0-BA38-4DED-AF8A-E8D6EC57945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5530A4B-B87D-4806-8EE2-23D37CDD2B1A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6F6FEDB-881A-467D-A828-4CB268BA8865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C83FA8C-3A21-4581-BCF3-0CAEB89BBD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Y2IzYzE2Nzk5Y2VhMTcwZjk4NDg5MWUyYjNkODEifQ=="/>
  </w:docVars>
  <w:rsids>
    <w:rsidRoot w:val="3E027B12"/>
    <w:rsid w:val="11DD342B"/>
    <w:rsid w:val="23124AE8"/>
    <w:rsid w:val="3C1850AA"/>
    <w:rsid w:val="3E027B12"/>
    <w:rsid w:val="3FE13CAE"/>
    <w:rsid w:val="460A5462"/>
    <w:rsid w:val="468C2217"/>
    <w:rsid w:val="48FF12BC"/>
    <w:rsid w:val="51713BAA"/>
    <w:rsid w:val="686A680F"/>
    <w:rsid w:val="6D4B27E6"/>
    <w:rsid w:val="7349576A"/>
    <w:rsid w:val="745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样式1"/>
    <w:basedOn w:val="1"/>
    <w:next w:val="2"/>
    <w:qFormat/>
    <w:uiPriority w:val="0"/>
    <w:rPr>
      <w:rFonts w:hint="eastAsia" w:ascii="方正仿宋_GBK" w:hAnsi="方正仿宋_GBK" w:eastAsia="方正仿宋_GBK" w:cs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1321</Words>
  <Characters>1383</Characters>
  <Lines>0</Lines>
  <Paragraphs>0</Paragraphs>
  <TotalTime>15</TotalTime>
  <ScaleCrop>false</ScaleCrop>
  <LinksUpToDate>false</LinksUpToDate>
  <CharactersWithSpaces>1465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2022-12-07T08:45:00Z</dcterms:created>
  <dc:creator>Yoh Asakura</dc:creator>
  <cp:lastModifiedBy>阿育娅</cp:lastModifiedBy>
  <cp:lastPrinted>2022-12-08T04:03:00Z</cp:lastPrinted>
  <dcterms:modified xsi:type="dcterms:W3CDTF">2022-12-08T09:11:34Z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CB072C6A7B6F4F5EB3CCFA96E59A632D</vt:lpwstr>
  </property>
</Properties>
</file>