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i w:val="0"/>
          <w:caps w:val="0"/>
          <w:color w:val="333333"/>
          <w:spacing w:val="0"/>
          <w:sz w:val="44"/>
          <w:szCs w:val="44"/>
          <w:shd w:val="clear" w:fill="FFFFFF"/>
        </w:rPr>
        <w:t>勐海县20</w:t>
      </w:r>
      <w:r>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22</w:t>
      </w:r>
      <w:r>
        <w:rPr>
          <w:rFonts w:hint="eastAsia" w:ascii="方正小标宋_GBK" w:hAnsi="方正小标宋_GBK" w:eastAsia="方正小标宋_GBK" w:cs="方正小标宋_GBK"/>
          <w:b w:val="0"/>
          <w:bCs/>
          <w:i w:val="0"/>
          <w:caps w:val="0"/>
          <w:color w:val="333333"/>
          <w:spacing w:val="0"/>
          <w:sz w:val="44"/>
          <w:szCs w:val="44"/>
          <w:shd w:val="clear" w:fill="FFFFFF"/>
        </w:rPr>
        <w:t>年“三公”经费决算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b w:val="0"/>
          <w:bCs/>
          <w:sz w:val="44"/>
          <w:szCs w:val="44"/>
        </w:rPr>
      </w:pPr>
      <w:r>
        <w:rPr>
          <w:rFonts w:hint="eastAsia" w:ascii="宋体" w:hAnsi="宋体" w:eastAsia="宋体" w:cs="宋体"/>
          <w:b w:val="0"/>
          <w:bCs/>
          <w:i w:val="0"/>
          <w:caps w:val="0"/>
          <w:color w:val="333333"/>
          <w:spacing w:val="0"/>
          <w:sz w:val="44"/>
          <w:szCs w:val="4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根据国务院关于推进政府预算信息公开的决策部署和勐海县人民政府工作安排，经勐海县财政局汇总，县人民政府批准，现将勐海县各部门（包括行政单位、事业单位以及其他使用一般公共预算财政拨款安排“三公”经费单位）20</w:t>
      </w:r>
      <w:r>
        <w:rPr>
          <w:rFonts w:hint="eastAsia" w:ascii="Times New Roman" w:hAnsi="Times New Roman" w:eastAsia="方正仿宋_GBK" w:cs="Times New Roman"/>
          <w:i w:val="0"/>
          <w:caps w:val="0"/>
          <w:color w:val="333333"/>
          <w:spacing w:val="0"/>
          <w:sz w:val="32"/>
          <w:szCs w:val="32"/>
          <w:shd w:val="clear" w:fill="FFFFFF"/>
          <w:lang w:val="en-US" w:eastAsia="zh-CN"/>
        </w:rPr>
        <w:t>22</w:t>
      </w:r>
      <w:r>
        <w:rPr>
          <w:rFonts w:hint="default" w:ascii="Times New Roman" w:hAnsi="Times New Roman" w:eastAsia="方正仿宋_GBK" w:cs="Times New Roman"/>
          <w:i w:val="0"/>
          <w:caps w:val="0"/>
          <w:color w:val="333333"/>
          <w:spacing w:val="0"/>
          <w:sz w:val="32"/>
          <w:szCs w:val="32"/>
          <w:shd w:val="clear" w:fill="FFFFFF"/>
        </w:rPr>
        <w:t>年“三公”经费决算情况公开如下：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勐海县20</w:t>
      </w:r>
      <w:r>
        <w:rPr>
          <w:rFonts w:hint="eastAsia" w:ascii="Times New Roman" w:hAnsi="Times New Roman" w:eastAsia="方正仿宋_GBK" w:cs="Times New Roman"/>
          <w:i w:val="0"/>
          <w:caps w:val="0"/>
          <w:color w:val="333333"/>
          <w:spacing w:val="0"/>
          <w:sz w:val="32"/>
          <w:szCs w:val="32"/>
          <w:shd w:val="clear" w:fill="FFFFFF"/>
          <w:lang w:val="en-US" w:eastAsia="zh-CN"/>
        </w:rPr>
        <w:t>22</w:t>
      </w:r>
      <w:r>
        <w:rPr>
          <w:rFonts w:hint="default" w:ascii="Times New Roman" w:hAnsi="Times New Roman" w:eastAsia="方正仿宋_GBK" w:cs="Times New Roman"/>
          <w:i w:val="0"/>
          <w:caps w:val="0"/>
          <w:color w:val="333333"/>
          <w:spacing w:val="0"/>
          <w:sz w:val="32"/>
          <w:szCs w:val="32"/>
          <w:shd w:val="clear" w:fill="FFFFFF"/>
        </w:rPr>
        <w:t>年一般公共预算财政拨款“三公”经费支出决算汇总数为</w:t>
      </w:r>
      <w:r>
        <w:rPr>
          <w:rFonts w:hint="eastAsia" w:ascii="Times New Roman" w:hAnsi="Times New Roman" w:eastAsia="方正仿宋_GBK" w:cs="Times New Roman"/>
          <w:i w:val="0"/>
          <w:caps w:val="0"/>
          <w:color w:val="333333"/>
          <w:spacing w:val="0"/>
          <w:sz w:val="32"/>
          <w:szCs w:val="32"/>
          <w:shd w:val="clear" w:fill="FFFFFF"/>
          <w:lang w:val="en-US" w:eastAsia="zh-CN"/>
        </w:rPr>
        <w:t>864.00</w:t>
      </w:r>
      <w:r>
        <w:rPr>
          <w:rFonts w:hint="default" w:ascii="Times New Roman" w:hAnsi="Times New Roman" w:eastAsia="方正仿宋_GBK" w:cs="Times New Roman"/>
          <w:i w:val="0"/>
          <w:caps w:val="0"/>
          <w:color w:val="333333"/>
          <w:spacing w:val="0"/>
          <w:sz w:val="32"/>
          <w:szCs w:val="32"/>
          <w:shd w:val="clear" w:fill="FFFFFF"/>
        </w:rPr>
        <w:t>万元，较</w:t>
      </w:r>
      <w:r>
        <w:rPr>
          <w:rFonts w:hint="eastAsia" w:ascii="Times New Roman" w:hAnsi="Times New Roman" w:eastAsia="方正仿宋_GBK" w:cs="Times New Roman"/>
          <w:i w:val="0"/>
          <w:caps w:val="0"/>
          <w:color w:val="333333"/>
          <w:spacing w:val="0"/>
          <w:sz w:val="32"/>
          <w:szCs w:val="32"/>
          <w:shd w:val="clear" w:fill="FFFFFF"/>
          <w:lang w:val="en-US" w:eastAsia="zh-CN"/>
        </w:rPr>
        <w:t>2022年“三公”经费年初预算</w:t>
      </w:r>
      <w:r>
        <w:rPr>
          <w:rFonts w:hint="eastAsia" w:ascii="Times New Roman" w:hAnsi="Times New Roman" w:eastAsia="方正仿宋_GBK"/>
          <w:color w:val="auto"/>
          <w:sz w:val="32"/>
          <w:szCs w:val="32"/>
          <w:lang w:val="en-US" w:eastAsia="zh-CN"/>
        </w:rPr>
        <w:t>1,689.94</w:t>
      </w:r>
      <w:r>
        <w:rPr>
          <w:rFonts w:hint="eastAsia" w:ascii="Times New Roman" w:hAnsi="Times New Roman" w:eastAsia="方正仿宋_GBK" w:cs="Times New Roman"/>
          <w:i w:val="0"/>
          <w:caps w:val="0"/>
          <w:color w:val="333333"/>
          <w:spacing w:val="0"/>
          <w:sz w:val="32"/>
          <w:szCs w:val="32"/>
          <w:shd w:val="clear" w:fill="FFFFFF"/>
          <w:lang w:val="en-US" w:eastAsia="zh-CN"/>
        </w:rPr>
        <w:t>万元减少</w:t>
      </w:r>
      <w:r>
        <w:rPr>
          <w:rFonts w:hint="eastAsia" w:ascii="Times New Roman" w:hAnsi="Times New Roman" w:eastAsia="方正仿宋_GBK"/>
          <w:color w:val="auto"/>
          <w:sz w:val="32"/>
          <w:szCs w:val="32"/>
          <w:lang w:val="en-US" w:eastAsia="zh-CN"/>
        </w:rPr>
        <w:t>825.94</w:t>
      </w:r>
      <w:r>
        <w:rPr>
          <w:rFonts w:hint="eastAsia" w:ascii="Times New Roman" w:hAnsi="Times New Roman" w:eastAsia="方正仿宋_GBK" w:cs="Times New Roman"/>
          <w:i w:val="0"/>
          <w:caps w:val="0"/>
          <w:color w:val="333333"/>
          <w:spacing w:val="0"/>
          <w:sz w:val="32"/>
          <w:szCs w:val="32"/>
          <w:shd w:val="clear" w:fill="FFFFFF"/>
          <w:lang w:val="en-US" w:eastAsia="zh-CN"/>
        </w:rPr>
        <w:t>万元，下降</w:t>
      </w:r>
      <w:r>
        <w:rPr>
          <w:rFonts w:hint="eastAsia" w:ascii="Times New Roman" w:hAnsi="Times New Roman" w:eastAsia="方正仿宋_GBK"/>
          <w:color w:val="auto"/>
          <w:sz w:val="32"/>
          <w:szCs w:val="32"/>
          <w:lang w:val="en-US" w:eastAsia="zh-CN"/>
        </w:rPr>
        <w:t>48.87</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eastAsia" w:ascii="Times New Roman" w:hAnsi="Times New Roman" w:eastAsia="方正仿宋_GBK" w:cs="Times New Roman"/>
          <w:i w:val="0"/>
          <w:caps w:val="0"/>
          <w:color w:val="333333"/>
          <w:spacing w:val="0"/>
          <w:sz w:val="32"/>
          <w:szCs w:val="32"/>
          <w:shd w:val="clear" w:fill="FFFFFF"/>
          <w:lang w:eastAsia="zh-CN"/>
        </w:rPr>
        <w:t>按</w:t>
      </w:r>
      <w:r>
        <w:rPr>
          <w:rFonts w:hint="eastAsia" w:ascii="Times New Roman" w:hAnsi="Times New Roman" w:eastAsia="方正仿宋_GBK" w:cs="Times New Roman"/>
          <w:i w:val="0"/>
          <w:caps w:val="0"/>
          <w:color w:val="333333"/>
          <w:spacing w:val="0"/>
          <w:sz w:val="32"/>
          <w:szCs w:val="32"/>
          <w:shd w:val="clear" w:fill="FFFFFF"/>
          <w:lang w:val="en-US" w:eastAsia="zh-CN"/>
        </w:rPr>
        <w:t>2021年同口径数据对比，较上年</w:t>
      </w:r>
      <w:r>
        <w:rPr>
          <w:rFonts w:hint="eastAsia" w:ascii="Times New Roman" w:hAnsi="Times New Roman" w:eastAsia="方正仿宋_GBK"/>
          <w:color w:val="auto"/>
          <w:sz w:val="32"/>
          <w:szCs w:val="32"/>
          <w:lang w:val="en-US" w:eastAsia="zh-CN"/>
        </w:rPr>
        <w:t>940.92</w:t>
      </w:r>
      <w:r>
        <w:rPr>
          <w:rFonts w:hint="default" w:ascii="Times New Roman" w:hAnsi="Times New Roman" w:eastAsia="方正仿宋_GBK" w:cs="Times New Roman"/>
          <w:i w:val="0"/>
          <w:caps w:val="0"/>
          <w:color w:val="333333"/>
          <w:spacing w:val="0"/>
          <w:sz w:val="32"/>
          <w:szCs w:val="32"/>
          <w:shd w:val="clear" w:fill="FFFFFF"/>
        </w:rPr>
        <w:t>万元减少</w:t>
      </w:r>
      <w:r>
        <w:rPr>
          <w:rFonts w:hint="eastAsia" w:ascii="Times New Roman" w:hAnsi="Times New Roman" w:eastAsia="方正仿宋_GBK"/>
          <w:color w:val="auto"/>
          <w:sz w:val="32"/>
          <w:szCs w:val="32"/>
          <w:lang w:val="en-US" w:eastAsia="zh-CN"/>
        </w:rPr>
        <w:t>76.92</w:t>
      </w:r>
      <w:r>
        <w:rPr>
          <w:rFonts w:hint="default" w:ascii="Times New Roman" w:hAnsi="Times New Roman" w:eastAsia="方正仿宋_GBK" w:cs="Times New Roman"/>
          <w:i w:val="0"/>
          <w:caps w:val="0"/>
          <w:color w:val="333333"/>
          <w:spacing w:val="0"/>
          <w:sz w:val="32"/>
          <w:szCs w:val="32"/>
          <w:shd w:val="clear" w:fill="FFFFFF"/>
        </w:rPr>
        <w:t>万元，下降</w:t>
      </w:r>
      <w:r>
        <w:rPr>
          <w:rFonts w:hint="eastAsia" w:ascii="Times New Roman" w:hAnsi="Times New Roman" w:eastAsia="方正仿宋_GBK"/>
          <w:color w:val="auto"/>
          <w:sz w:val="32"/>
          <w:szCs w:val="32"/>
          <w:lang w:val="en-US" w:eastAsia="zh-CN"/>
        </w:rPr>
        <w:t>8.17</w:t>
      </w:r>
      <w:r>
        <w:rPr>
          <w:rFonts w:hint="default" w:ascii="Times New Roman" w:hAnsi="Times New Roman" w:eastAsia="方正仿宋_GBK" w:cs="Times New Roman"/>
          <w:i w:val="0"/>
          <w:caps w:val="0"/>
          <w:color w:val="333333"/>
          <w:spacing w:val="0"/>
          <w:sz w:val="32"/>
          <w:szCs w:val="32"/>
          <w:shd w:val="clear" w:fill="FFFFFF"/>
        </w:rPr>
        <w:t>%。其中：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因公出国（境）费为0万元，</w:t>
      </w:r>
      <w:r>
        <w:rPr>
          <w:rFonts w:hint="default" w:ascii="Times New Roman" w:hAnsi="Times New Roman" w:eastAsia="方正仿宋_GBK" w:cs="Times New Roman"/>
          <w:i w:val="0"/>
          <w:caps w:val="0"/>
          <w:color w:val="333333"/>
          <w:spacing w:val="0"/>
          <w:sz w:val="32"/>
          <w:szCs w:val="32"/>
          <w:shd w:val="clear" w:fill="FFFFFF"/>
          <w:lang w:val="en-US" w:eastAsia="zh-CN"/>
        </w:rPr>
        <w:t>较202</w:t>
      </w:r>
      <w:r>
        <w:rPr>
          <w:rFonts w:hint="eastAsia"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lang w:val="en-US" w:eastAsia="zh-CN"/>
        </w:rPr>
        <w:t>年年初预算</w:t>
      </w:r>
      <w:r>
        <w:rPr>
          <w:rFonts w:hint="eastAsia"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lang w:val="en-US" w:eastAsia="zh-CN"/>
        </w:rPr>
        <w:t>万元减少</w:t>
      </w:r>
      <w:r>
        <w:rPr>
          <w:rFonts w:hint="eastAsia"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lang w:val="en-US" w:eastAsia="zh-CN"/>
        </w:rPr>
        <w:t>万元</w:t>
      </w:r>
      <w:r>
        <w:rPr>
          <w:rFonts w:hint="eastAsia" w:ascii="Times New Roman" w:hAnsi="Times New Roman" w:eastAsia="方正仿宋_GBK" w:cs="Times New Roman"/>
          <w:i w:val="0"/>
          <w:caps w:val="0"/>
          <w:color w:val="333333"/>
          <w:spacing w:val="0"/>
          <w:sz w:val="32"/>
          <w:szCs w:val="32"/>
          <w:shd w:val="clear" w:fill="FFFFFF"/>
          <w:lang w:val="en-US" w:eastAsia="zh-CN"/>
        </w:rPr>
        <w:t>，下降100%；</w:t>
      </w:r>
      <w:r>
        <w:rPr>
          <w:rFonts w:hint="default" w:ascii="Times New Roman" w:hAnsi="Times New Roman" w:eastAsia="方正仿宋_GBK" w:cs="Times New Roman"/>
          <w:i w:val="0"/>
          <w:caps w:val="0"/>
          <w:color w:val="333333"/>
          <w:spacing w:val="0"/>
          <w:sz w:val="32"/>
          <w:szCs w:val="32"/>
          <w:shd w:val="clear" w:fill="FFFFFF"/>
        </w:rPr>
        <w:t>与上年一致。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333333"/>
          <w:spacing w:val="0"/>
          <w:sz w:val="32"/>
          <w:szCs w:val="32"/>
          <w:shd w:val="clear" w:fill="FFFFFF"/>
        </w:rPr>
        <w:t>公务接待费为</w:t>
      </w:r>
      <w:r>
        <w:rPr>
          <w:rFonts w:hint="eastAsia" w:ascii="Times New Roman" w:hAnsi="Times New Roman" w:eastAsia="方正仿宋_GBK"/>
          <w:sz w:val="32"/>
          <w:szCs w:val="32"/>
          <w:lang w:val="en-US" w:eastAsia="zh-CN"/>
        </w:rPr>
        <w:t>112.86</w:t>
      </w:r>
      <w:r>
        <w:rPr>
          <w:rFonts w:hint="default" w:ascii="Times New Roman" w:hAnsi="Times New Roman" w:eastAsia="方正仿宋_GBK" w:cs="Times New Roman"/>
          <w:i w:val="0"/>
          <w:caps w:val="0"/>
          <w:color w:val="333333"/>
          <w:spacing w:val="0"/>
          <w:sz w:val="32"/>
          <w:szCs w:val="32"/>
          <w:shd w:val="clear" w:fill="FFFFFF"/>
          <w:lang w:val="en-US" w:eastAsia="zh-CN"/>
        </w:rPr>
        <w:t>万元，较202</w:t>
      </w:r>
      <w:r>
        <w:rPr>
          <w:rFonts w:hint="eastAsia"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lang w:val="en-US" w:eastAsia="zh-CN"/>
        </w:rPr>
        <w:t>年年初预算</w:t>
      </w:r>
      <w:r>
        <w:rPr>
          <w:rFonts w:hint="eastAsia" w:ascii="Times New Roman" w:hAnsi="Times New Roman" w:eastAsia="方正仿宋_GBK"/>
          <w:sz w:val="32"/>
          <w:szCs w:val="32"/>
          <w:lang w:val="en-US" w:eastAsia="zh-CN"/>
        </w:rPr>
        <w:t>704.76</w:t>
      </w:r>
      <w:r>
        <w:rPr>
          <w:rFonts w:hint="default" w:ascii="Times New Roman" w:hAnsi="Times New Roman" w:eastAsia="方正仿宋_GBK" w:cs="Times New Roman"/>
          <w:i w:val="0"/>
          <w:caps w:val="0"/>
          <w:color w:val="333333"/>
          <w:spacing w:val="0"/>
          <w:sz w:val="32"/>
          <w:szCs w:val="32"/>
          <w:shd w:val="clear" w:fill="FFFFFF"/>
          <w:lang w:val="en-US" w:eastAsia="zh-CN"/>
        </w:rPr>
        <w:t>万元减少</w:t>
      </w:r>
      <w:r>
        <w:rPr>
          <w:rFonts w:hint="eastAsia" w:ascii="Times New Roman" w:hAnsi="Times New Roman" w:eastAsia="方正仿宋_GBK"/>
          <w:sz w:val="32"/>
          <w:szCs w:val="32"/>
          <w:lang w:val="en-US" w:eastAsia="zh-CN"/>
        </w:rPr>
        <w:t>591.90</w:t>
      </w:r>
      <w:r>
        <w:rPr>
          <w:rFonts w:hint="default" w:ascii="Times New Roman" w:hAnsi="Times New Roman" w:eastAsia="方正仿宋_GBK" w:cs="Times New Roman"/>
          <w:i w:val="0"/>
          <w:caps w:val="0"/>
          <w:color w:val="333333"/>
          <w:spacing w:val="0"/>
          <w:sz w:val="32"/>
          <w:szCs w:val="32"/>
          <w:shd w:val="clear" w:fill="FFFFFF"/>
          <w:lang w:val="en-US" w:eastAsia="zh-CN"/>
        </w:rPr>
        <w:t>万元</w:t>
      </w:r>
      <w:r>
        <w:rPr>
          <w:rFonts w:hint="eastAsia" w:ascii="Times New Roman" w:hAnsi="Times New Roman" w:eastAsia="方正仿宋_GBK" w:cs="Times New Roman"/>
          <w:i w:val="0"/>
          <w:caps w:val="0"/>
          <w:color w:val="333333"/>
          <w:spacing w:val="0"/>
          <w:sz w:val="32"/>
          <w:szCs w:val="32"/>
          <w:shd w:val="clear" w:fill="FFFFFF"/>
          <w:lang w:val="en-US" w:eastAsia="zh-CN"/>
        </w:rPr>
        <w:t>，下降83.99%；</w:t>
      </w:r>
      <w:r>
        <w:rPr>
          <w:rFonts w:hint="default" w:ascii="Times New Roman" w:hAnsi="Times New Roman" w:eastAsia="方正仿宋_GBK" w:cs="Times New Roman"/>
          <w:i w:val="0"/>
          <w:caps w:val="0"/>
          <w:color w:val="auto"/>
          <w:spacing w:val="0"/>
          <w:sz w:val="32"/>
          <w:szCs w:val="32"/>
          <w:shd w:val="clear" w:fill="FFFFFF"/>
        </w:rPr>
        <w:t>较上年</w:t>
      </w:r>
      <w:r>
        <w:rPr>
          <w:rFonts w:hint="eastAsia" w:ascii="Times New Roman" w:hAnsi="Times New Roman" w:eastAsia="方正仿宋_GBK"/>
          <w:sz w:val="32"/>
          <w:szCs w:val="32"/>
          <w:lang w:val="en-US" w:eastAsia="zh-CN"/>
        </w:rPr>
        <w:t>171.37</w:t>
      </w:r>
      <w:r>
        <w:rPr>
          <w:rFonts w:hint="default" w:ascii="Times New Roman" w:hAnsi="Times New Roman" w:eastAsia="方正仿宋_GBK" w:cs="Times New Roman"/>
          <w:i w:val="0"/>
          <w:caps w:val="0"/>
          <w:color w:val="auto"/>
          <w:spacing w:val="0"/>
          <w:sz w:val="32"/>
          <w:szCs w:val="32"/>
          <w:shd w:val="clear" w:fill="FFFFFF"/>
        </w:rPr>
        <w:t>万元减少</w:t>
      </w:r>
      <w:r>
        <w:rPr>
          <w:rFonts w:hint="eastAsia" w:ascii="Times New Roman" w:hAnsi="Times New Roman" w:eastAsia="方正仿宋_GBK"/>
          <w:sz w:val="32"/>
          <w:szCs w:val="32"/>
          <w:lang w:val="en-US" w:eastAsia="zh-CN"/>
        </w:rPr>
        <w:t>58.51</w:t>
      </w:r>
      <w:r>
        <w:rPr>
          <w:rFonts w:hint="default" w:ascii="Times New Roman" w:hAnsi="Times New Roman" w:eastAsia="方正仿宋_GBK" w:cs="Times New Roman"/>
          <w:i w:val="0"/>
          <w:caps w:val="0"/>
          <w:color w:val="auto"/>
          <w:spacing w:val="0"/>
          <w:sz w:val="32"/>
          <w:szCs w:val="32"/>
          <w:shd w:val="clear" w:fill="FFFFFF"/>
        </w:rPr>
        <w:t>万元，下降</w:t>
      </w:r>
      <w:r>
        <w:rPr>
          <w:rFonts w:hint="eastAsia" w:ascii="Times New Roman" w:hAnsi="Times New Roman" w:eastAsia="方正仿宋_GBK"/>
          <w:sz w:val="32"/>
          <w:szCs w:val="32"/>
          <w:lang w:val="en-US" w:eastAsia="zh-CN"/>
        </w:rPr>
        <w:t>34.14</w:t>
      </w:r>
      <w:r>
        <w:rPr>
          <w:rFonts w:hint="default" w:ascii="Times New Roman" w:hAnsi="Times New Roman" w:eastAsia="方正仿宋_GBK" w:cs="Times New Roman"/>
          <w:i w:val="0"/>
          <w:caps w:val="0"/>
          <w:color w:val="auto"/>
          <w:spacing w:val="0"/>
          <w:sz w:val="32"/>
          <w:szCs w:val="32"/>
          <w:shd w:val="clear" w:fill="FFFFFF"/>
        </w:rPr>
        <w:t>%，其中</w:t>
      </w:r>
      <w:r>
        <w:rPr>
          <w:rFonts w:hint="eastAsia" w:ascii="Times New Roman" w:hAnsi="Times New Roman" w:eastAsia="方正仿宋_GBK" w:cs="Times New Roman"/>
          <w:i w:val="0"/>
          <w:caps w:val="0"/>
          <w:color w:val="auto"/>
          <w:spacing w:val="0"/>
          <w:sz w:val="32"/>
          <w:szCs w:val="32"/>
          <w:shd w:val="clear" w:fill="FFFFFF"/>
          <w:lang w:eastAsia="zh-CN"/>
        </w:rPr>
        <w:t>：</w:t>
      </w:r>
      <w:r>
        <w:rPr>
          <w:rFonts w:hint="default" w:ascii="Times New Roman" w:hAnsi="Times New Roman" w:eastAsia="方正仿宋_GBK" w:cs="Times New Roman"/>
          <w:i w:val="0"/>
          <w:caps w:val="0"/>
          <w:color w:val="auto"/>
          <w:spacing w:val="0"/>
          <w:sz w:val="32"/>
          <w:szCs w:val="32"/>
          <w:shd w:val="clear" w:fill="FFFFFF"/>
        </w:rPr>
        <w:t>国内公务接待</w:t>
      </w:r>
      <w:r>
        <w:rPr>
          <w:rFonts w:hint="eastAsia" w:ascii="Times New Roman" w:hAnsi="Times New Roman" w:eastAsia="方正仿宋_GBK"/>
          <w:sz w:val="32"/>
          <w:szCs w:val="32"/>
          <w:lang w:val="en-US" w:eastAsia="zh-CN"/>
        </w:rPr>
        <w:t>1,693</w:t>
      </w:r>
      <w:r>
        <w:rPr>
          <w:rFonts w:hint="default" w:ascii="Times New Roman" w:hAnsi="Times New Roman" w:eastAsia="方正仿宋_GBK" w:cs="Times New Roman"/>
          <w:i w:val="0"/>
          <w:caps w:val="0"/>
          <w:color w:val="auto"/>
          <w:spacing w:val="0"/>
          <w:sz w:val="32"/>
          <w:szCs w:val="32"/>
          <w:shd w:val="clear" w:fill="FFFFFF"/>
        </w:rPr>
        <w:t>批次，</w:t>
      </w:r>
      <w:r>
        <w:rPr>
          <w:rFonts w:hint="eastAsia" w:ascii="Times New Roman" w:hAnsi="Times New Roman" w:eastAsia="方正仿宋_GBK"/>
          <w:sz w:val="32"/>
          <w:szCs w:val="32"/>
          <w:lang w:val="en-US" w:eastAsia="zh-CN"/>
        </w:rPr>
        <w:t>23,301</w:t>
      </w:r>
      <w:r>
        <w:rPr>
          <w:rFonts w:hint="default" w:ascii="Times New Roman" w:hAnsi="Times New Roman" w:eastAsia="方正仿宋_GBK" w:cs="Times New Roman"/>
          <w:i w:val="0"/>
          <w:caps w:val="0"/>
          <w:color w:val="auto"/>
          <w:spacing w:val="0"/>
          <w:sz w:val="32"/>
          <w:szCs w:val="32"/>
          <w:shd w:val="clear" w:fill="FFFFFF"/>
        </w:rPr>
        <w:t>人次。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auto"/>
          <w:spacing w:val="0"/>
          <w:sz w:val="32"/>
          <w:szCs w:val="32"/>
          <w:shd w:val="clear" w:fill="FFFFFF"/>
        </w:rPr>
        <w:t>公务用车购置及运行维护费为</w:t>
      </w:r>
      <w:r>
        <w:rPr>
          <w:rFonts w:hint="eastAsia" w:ascii="Times New Roman" w:hAnsi="Times New Roman" w:eastAsia="方正仿宋_GBK"/>
          <w:sz w:val="32"/>
          <w:szCs w:val="32"/>
          <w:lang w:val="en-US" w:eastAsia="zh-CN"/>
        </w:rPr>
        <w:t>751.14</w:t>
      </w:r>
      <w:r>
        <w:rPr>
          <w:rFonts w:hint="default" w:ascii="Times New Roman" w:hAnsi="Times New Roman" w:eastAsia="方正仿宋_GBK" w:cs="Times New Roman"/>
          <w:i w:val="0"/>
          <w:caps w:val="0"/>
          <w:color w:val="auto"/>
          <w:spacing w:val="0"/>
          <w:sz w:val="32"/>
          <w:szCs w:val="32"/>
          <w:shd w:val="clear" w:fill="FFFFFF"/>
          <w:lang w:val="en-US" w:eastAsia="zh-CN"/>
        </w:rPr>
        <w:t>万元，较</w:t>
      </w:r>
      <w:r>
        <w:rPr>
          <w:rFonts w:hint="eastAsia" w:ascii="Times New Roman" w:hAnsi="Times New Roman" w:eastAsia="方正仿宋_GBK" w:cs="Times New Roman"/>
          <w:i w:val="0"/>
          <w:caps w:val="0"/>
          <w:color w:val="auto"/>
          <w:spacing w:val="0"/>
          <w:sz w:val="32"/>
          <w:szCs w:val="32"/>
          <w:shd w:val="clear" w:fill="FFFFFF"/>
          <w:lang w:val="en-US" w:eastAsia="zh-CN"/>
        </w:rPr>
        <w:t>2022</w:t>
      </w:r>
      <w:r>
        <w:rPr>
          <w:rFonts w:hint="default" w:ascii="Times New Roman" w:hAnsi="Times New Roman" w:eastAsia="方正仿宋_GBK" w:cs="Times New Roman"/>
          <w:i w:val="0"/>
          <w:caps w:val="0"/>
          <w:color w:val="auto"/>
          <w:spacing w:val="0"/>
          <w:sz w:val="32"/>
          <w:szCs w:val="32"/>
          <w:shd w:val="clear" w:fill="FFFFFF"/>
          <w:lang w:val="en-US" w:eastAsia="zh-CN"/>
        </w:rPr>
        <w:t>年年初预算</w:t>
      </w:r>
      <w:r>
        <w:rPr>
          <w:rFonts w:hint="eastAsia" w:ascii="Times New Roman" w:hAnsi="Times New Roman" w:eastAsia="方正仿宋_GBK"/>
          <w:sz w:val="32"/>
          <w:szCs w:val="32"/>
          <w:lang w:val="en-US" w:eastAsia="zh-CN"/>
        </w:rPr>
        <w:t>982.18</w:t>
      </w:r>
      <w:r>
        <w:rPr>
          <w:rFonts w:hint="default" w:ascii="Times New Roman" w:hAnsi="Times New Roman" w:eastAsia="方正仿宋_GBK" w:cs="Times New Roman"/>
          <w:i w:val="0"/>
          <w:caps w:val="0"/>
          <w:color w:val="auto"/>
          <w:spacing w:val="0"/>
          <w:sz w:val="32"/>
          <w:szCs w:val="32"/>
          <w:shd w:val="clear" w:fill="FFFFFF"/>
          <w:lang w:val="en-US" w:eastAsia="zh-CN"/>
        </w:rPr>
        <w:t>万元减少</w:t>
      </w:r>
      <w:r>
        <w:rPr>
          <w:rFonts w:hint="eastAsia" w:ascii="Times New Roman" w:hAnsi="Times New Roman" w:eastAsia="方正仿宋_GBK"/>
          <w:sz w:val="32"/>
          <w:szCs w:val="32"/>
          <w:lang w:val="en-US" w:eastAsia="zh-CN"/>
        </w:rPr>
        <w:t>231.04</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，下降</w:t>
      </w:r>
      <w:r>
        <w:rPr>
          <w:rFonts w:hint="eastAsia" w:ascii="Times New Roman" w:hAnsi="Times New Roman" w:eastAsia="方正仿宋_GBK"/>
          <w:sz w:val="32"/>
          <w:szCs w:val="32"/>
          <w:lang w:val="en-US" w:eastAsia="zh-CN"/>
        </w:rPr>
        <w:t>23.52</w:t>
      </w:r>
      <w:r>
        <w:rPr>
          <w:rFonts w:hint="eastAsia" w:ascii="Times New Roman" w:hAnsi="Times New Roman" w:eastAsia="方正仿宋_GBK" w:cs="Times New Roman"/>
          <w:i w:val="0"/>
          <w:caps w:val="0"/>
          <w:color w:val="auto"/>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较上年</w:t>
      </w:r>
      <w:r>
        <w:rPr>
          <w:rFonts w:hint="eastAsia" w:ascii="Times New Roman" w:hAnsi="Times New Roman" w:eastAsia="方正仿宋_GBK"/>
          <w:sz w:val="32"/>
          <w:szCs w:val="32"/>
          <w:lang w:val="en-US" w:eastAsia="zh-CN"/>
        </w:rPr>
        <w:t>769.55</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sz w:val="32"/>
          <w:szCs w:val="32"/>
          <w:lang w:val="en-US" w:eastAsia="zh-CN"/>
        </w:rPr>
        <w:t>18.41</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sz w:val="32"/>
          <w:szCs w:val="32"/>
          <w:lang w:val="en-US" w:eastAsia="zh-CN"/>
        </w:rPr>
        <w:t>2.39</w:t>
      </w:r>
      <w:r>
        <w:rPr>
          <w:rFonts w:hint="default" w:ascii="Times New Roman" w:hAnsi="Times New Roman" w:eastAsia="方正仿宋_GBK" w:cs="Times New Roman"/>
          <w:i w:val="0"/>
          <w:caps w:val="0"/>
          <w:color w:val="333333"/>
          <w:spacing w:val="0"/>
          <w:sz w:val="32"/>
          <w:szCs w:val="32"/>
          <w:shd w:val="clear" w:fill="FFFFFF"/>
        </w:rPr>
        <w:t>%(其中：</w:t>
      </w:r>
      <w:r>
        <w:rPr>
          <w:rFonts w:hint="default" w:ascii="Times New Roman" w:hAnsi="Times New Roman" w:eastAsia="方正仿宋_GBK" w:cs="Times New Roman"/>
          <w:i w:val="0"/>
          <w:caps w:val="0"/>
          <w:color w:val="auto"/>
          <w:spacing w:val="0"/>
          <w:sz w:val="32"/>
          <w:szCs w:val="32"/>
          <w:shd w:val="clear" w:fill="FFFFFF"/>
        </w:rPr>
        <w:t>公务用车购置费</w:t>
      </w:r>
      <w:r>
        <w:rPr>
          <w:rFonts w:hint="eastAsia" w:ascii="Times New Roman" w:hAnsi="Times New Roman" w:eastAsia="方正仿宋_GBK"/>
          <w:sz w:val="32"/>
          <w:szCs w:val="32"/>
          <w:lang w:val="en-US" w:eastAsia="zh-CN"/>
        </w:rPr>
        <w:t>54.3</w:t>
      </w:r>
      <w:r>
        <w:rPr>
          <w:rFonts w:hint="default" w:ascii="Times New Roman" w:hAnsi="Times New Roman" w:eastAsia="方正仿宋_GBK" w:cs="Times New Roman"/>
          <w:i w:val="0"/>
          <w:caps w:val="0"/>
          <w:color w:val="auto"/>
          <w:spacing w:val="0"/>
          <w:sz w:val="32"/>
          <w:szCs w:val="32"/>
          <w:shd w:val="clear" w:fill="FFFFFF"/>
        </w:rPr>
        <w:t>万元，</w:t>
      </w:r>
      <w:r>
        <w:rPr>
          <w:rFonts w:hint="default" w:ascii="Times New Roman" w:hAnsi="Times New Roman" w:eastAsia="方正仿宋_GBK" w:cs="Times New Roman"/>
          <w:i w:val="0"/>
          <w:caps w:val="0"/>
          <w:color w:val="auto"/>
          <w:spacing w:val="0"/>
          <w:sz w:val="32"/>
          <w:szCs w:val="32"/>
          <w:shd w:val="clear" w:fill="FFFFFF"/>
          <w:lang w:val="en-US" w:eastAsia="zh-CN"/>
        </w:rPr>
        <w:t>较</w:t>
      </w:r>
      <w:r>
        <w:rPr>
          <w:rFonts w:hint="eastAsia" w:ascii="Times New Roman" w:hAnsi="Times New Roman" w:eastAsia="方正仿宋_GBK" w:cs="Times New Roman"/>
          <w:i w:val="0"/>
          <w:caps w:val="0"/>
          <w:color w:val="auto"/>
          <w:spacing w:val="0"/>
          <w:sz w:val="32"/>
          <w:szCs w:val="32"/>
          <w:shd w:val="clear" w:fill="FFFFFF"/>
          <w:lang w:val="en-US" w:eastAsia="zh-CN"/>
        </w:rPr>
        <w:t>2022</w:t>
      </w:r>
      <w:r>
        <w:rPr>
          <w:rFonts w:hint="default" w:ascii="Times New Roman" w:hAnsi="Times New Roman" w:eastAsia="方正仿宋_GBK" w:cs="Times New Roman"/>
          <w:i w:val="0"/>
          <w:caps w:val="0"/>
          <w:color w:val="auto"/>
          <w:spacing w:val="0"/>
          <w:sz w:val="32"/>
          <w:szCs w:val="32"/>
          <w:shd w:val="clear" w:fill="FFFFFF"/>
          <w:lang w:val="en-US" w:eastAsia="zh-CN"/>
        </w:rPr>
        <w:t>年年初预算</w:t>
      </w:r>
      <w:r>
        <w:rPr>
          <w:rFonts w:hint="eastAsia" w:ascii="Times New Roman" w:hAnsi="Times New Roman" w:eastAsia="方正仿宋_GBK" w:cs="Times New Roman"/>
          <w:i w:val="0"/>
          <w:caps w:val="0"/>
          <w:color w:val="auto"/>
          <w:spacing w:val="0"/>
          <w:sz w:val="32"/>
          <w:szCs w:val="32"/>
          <w:shd w:val="clear" w:fill="FFFFFF"/>
          <w:lang w:val="en-US" w:eastAsia="zh-CN"/>
        </w:rPr>
        <w:t>70</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减少</w:t>
      </w:r>
      <w:r>
        <w:rPr>
          <w:rFonts w:hint="eastAsia" w:ascii="Times New Roman" w:hAnsi="Times New Roman" w:eastAsia="方正仿宋_GBK"/>
          <w:sz w:val="32"/>
          <w:szCs w:val="32"/>
          <w:lang w:val="en-US" w:eastAsia="zh-CN"/>
        </w:rPr>
        <w:t>15.70</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，下降</w:t>
      </w:r>
      <w:r>
        <w:rPr>
          <w:rFonts w:hint="eastAsia" w:ascii="Times New Roman" w:hAnsi="Times New Roman" w:eastAsia="方正仿宋_GBK"/>
          <w:sz w:val="32"/>
          <w:szCs w:val="32"/>
          <w:lang w:val="en-US" w:eastAsia="zh-CN"/>
        </w:rPr>
        <w:t>22.43</w:t>
      </w:r>
      <w:r>
        <w:rPr>
          <w:rFonts w:hint="eastAsia" w:ascii="Times New Roman" w:hAnsi="Times New Roman" w:eastAsia="方正仿宋_GBK" w:cs="Times New Roman"/>
          <w:i w:val="0"/>
          <w:caps w:val="0"/>
          <w:color w:val="auto"/>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较上年</w:t>
      </w:r>
      <w:r>
        <w:rPr>
          <w:rFonts w:hint="eastAsia" w:ascii="Times New Roman" w:hAnsi="Times New Roman" w:eastAsia="方正仿宋_GBK"/>
          <w:sz w:val="32"/>
          <w:szCs w:val="32"/>
          <w:lang w:val="en-US" w:eastAsia="zh-CN"/>
        </w:rPr>
        <w:t>53.27</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sz w:val="32"/>
          <w:szCs w:val="32"/>
          <w:lang w:eastAsia="zh-CN"/>
        </w:rPr>
        <w:t>增</w:t>
      </w:r>
      <w:r>
        <w:rPr>
          <w:rFonts w:hint="eastAsia" w:ascii="Times New Roman" w:hAnsi="Times New Roman" w:eastAsia="方正仿宋_GBK"/>
          <w:sz w:val="32"/>
          <w:szCs w:val="32"/>
          <w:lang w:val="en-US" w:eastAsia="zh-CN"/>
        </w:rPr>
        <w:t>加1.03</w:t>
      </w:r>
      <w:r>
        <w:rPr>
          <w:rFonts w:hint="default" w:ascii="Times New Roman" w:hAnsi="Times New Roman" w:eastAsia="方正仿宋_GBK"/>
          <w:sz w:val="32"/>
          <w:szCs w:val="32"/>
        </w:rPr>
        <w:t>万元</w:t>
      </w:r>
      <w:r>
        <w:rPr>
          <w:rFonts w:hint="eastAsia" w:ascii="Times New Roman" w:hAnsi="Times New Roman" w:eastAsia="方正仿宋_GBK"/>
          <w:sz w:val="32"/>
          <w:szCs w:val="32"/>
          <w:lang w:eastAsia="zh-CN"/>
        </w:rPr>
        <w:t>，增</w:t>
      </w:r>
      <w:r>
        <w:rPr>
          <w:rFonts w:hint="eastAsia" w:ascii="Times New Roman" w:hAnsi="Times New Roman" w:eastAsia="方正仿宋_GBK"/>
          <w:sz w:val="32"/>
          <w:szCs w:val="32"/>
          <w:lang w:val="en-US" w:eastAsia="zh-CN"/>
        </w:rPr>
        <w:t>长1.93</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w:t>
      </w:r>
      <w:r>
        <w:rPr>
          <w:rFonts w:hint="default" w:ascii="Times New Roman" w:hAnsi="Times New Roman" w:eastAsia="方正仿宋_GBK" w:cs="Times New Roman"/>
          <w:i w:val="0"/>
          <w:caps w:val="0"/>
          <w:color w:val="auto"/>
          <w:spacing w:val="0"/>
          <w:sz w:val="32"/>
          <w:szCs w:val="32"/>
          <w:shd w:val="clear" w:fill="FFFFFF"/>
        </w:rPr>
        <w:t>公务用车运行维护费</w:t>
      </w:r>
      <w:r>
        <w:rPr>
          <w:rFonts w:hint="eastAsia" w:ascii="Times New Roman" w:hAnsi="Times New Roman" w:eastAsia="方正仿宋_GBK"/>
          <w:sz w:val="32"/>
          <w:szCs w:val="32"/>
          <w:lang w:val="en-US" w:eastAsia="zh-CN"/>
        </w:rPr>
        <w:t>696.84</w:t>
      </w:r>
      <w:r>
        <w:rPr>
          <w:rFonts w:hint="default" w:ascii="Times New Roman" w:hAnsi="Times New Roman" w:eastAsia="方正仿宋_GBK" w:cs="Times New Roman"/>
          <w:i w:val="0"/>
          <w:caps w:val="0"/>
          <w:color w:val="auto"/>
          <w:spacing w:val="0"/>
          <w:sz w:val="32"/>
          <w:szCs w:val="32"/>
          <w:shd w:val="clear" w:fill="FFFFFF"/>
        </w:rPr>
        <w:t>万元，</w:t>
      </w:r>
      <w:r>
        <w:rPr>
          <w:rFonts w:hint="default" w:ascii="Times New Roman" w:hAnsi="Times New Roman" w:eastAsia="方正仿宋_GBK" w:cs="Times New Roman"/>
          <w:i w:val="0"/>
          <w:caps w:val="0"/>
          <w:color w:val="auto"/>
          <w:spacing w:val="0"/>
          <w:sz w:val="32"/>
          <w:szCs w:val="32"/>
          <w:shd w:val="clear" w:fill="FFFFFF"/>
          <w:lang w:val="en-US" w:eastAsia="zh-CN"/>
        </w:rPr>
        <w:t>较</w:t>
      </w:r>
      <w:r>
        <w:rPr>
          <w:rFonts w:hint="eastAsia" w:ascii="Times New Roman" w:hAnsi="Times New Roman" w:eastAsia="方正仿宋_GBK" w:cs="Times New Roman"/>
          <w:i w:val="0"/>
          <w:caps w:val="0"/>
          <w:color w:val="auto"/>
          <w:spacing w:val="0"/>
          <w:sz w:val="32"/>
          <w:szCs w:val="32"/>
          <w:shd w:val="clear" w:fill="FFFFFF"/>
          <w:lang w:val="en-US" w:eastAsia="zh-CN"/>
        </w:rPr>
        <w:t>2022</w:t>
      </w:r>
      <w:r>
        <w:rPr>
          <w:rFonts w:hint="default" w:ascii="Times New Roman" w:hAnsi="Times New Roman" w:eastAsia="方正仿宋_GBK" w:cs="Times New Roman"/>
          <w:i w:val="0"/>
          <w:caps w:val="0"/>
          <w:color w:val="auto"/>
          <w:spacing w:val="0"/>
          <w:sz w:val="32"/>
          <w:szCs w:val="32"/>
          <w:shd w:val="clear" w:fill="FFFFFF"/>
          <w:lang w:val="en-US" w:eastAsia="zh-CN"/>
        </w:rPr>
        <w:t>年年初预算</w:t>
      </w:r>
      <w:r>
        <w:rPr>
          <w:rFonts w:hint="eastAsia" w:ascii="Times New Roman" w:hAnsi="Times New Roman" w:eastAsia="方正仿宋_GBK"/>
          <w:sz w:val="32"/>
          <w:szCs w:val="32"/>
          <w:lang w:val="en-US" w:eastAsia="zh-CN"/>
        </w:rPr>
        <w:t>912.18</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减少</w:t>
      </w:r>
      <w:r>
        <w:rPr>
          <w:rFonts w:hint="eastAsia" w:ascii="Times New Roman" w:hAnsi="Times New Roman" w:eastAsia="方正仿宋_GBK"/>
          <w:sz w:val="32"/>
          <w:szCs w:val="32"/>
          <w:lang w:val="en-US" w:eastAsia="zh-CN"/>
        </w:rPr>
        <w:t>215.34</w:t>
      </w:r>
      <w:r>
        <w:rPr>
          <w:rFonts w:hint="default" w:ascii="Times New Roman" w:hAnsi="Times New Roman" w:eastAsia="方正仿宋_GBK" w:cs="Times New Roman"/>
          <w:i w:val="0"/>
          <w:caps w:val="0"/>
          <w:color w:val="auto"/>
          <w:spacing w:val="0"/>
          <w:sz w:val="32"/>
          <w:szCs w:val="32"/>
          <w:shd w:val="clear" w:fill="FFFFFF"/>
          <w:lang w:val="en-US" w:eastAsia="zh-CN"/>
        </w:rPr>
        <w:t>万元</w:t>
      </w:r>
      <w:r>
        <w:rPr>
          <w:rFonts w:hint="eastAsia" w:ascii="Times New Roman" w:hAnsi="Times New Roman" w:eastAsia="方正仿宋_GBK" w:cs="Times New Roman"/>
          <w:i w:val="0"/>
          <w:caps w:val="0"/>
          <w:color w:val="auto"/>
          <w:spacing w:val="0"/>
          <w:sz w:val="32"/>
          <w:szCs w:val="32"/>
          <w:shd w:val="clear" w:fill="FFFFFF"/>
          <w:lang w:val="en-US" w:eastAsia="zh-CN"/>
        </w:rPr>
        <w:t>，下降</w:t>
      </w:r>
      <w:r>
        <w:rPr>
          <w:rFonts w:hint="eastAsia" w:ascii="Times New Roman" w:hAnsi="Times New Roman" w:eastAsia="方正仿宋_GBK"/>
          <w:sz w:val="32"/>
          <w:szCs w:val="32"/>
          <w:lang w:val="en-US" w:eastAsia="zh-CN"/>
        </w:rPr>
        <w:t>23.61</w:t>
      </w:r>
      <w:r>
        <w:rPr>
          <w:rFonts w:hint="eastAsia" w:ascii="Times New Roman" w:hAnsi="Times New Roman" w:eastAsia="方正仿宋_GBK" w:cs="Times New Roman"/>
          <w:i w:val="0"/>
          <w:caps w:val="0"/>
          <w:color w:val="auto"/>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较上年</w:t>
      </w:r>
      <w:r>
        <w:rPr>
          <w:rFonts w:hint="eastAsia" w:ascii="Times New Roman" w:hAnsi="Times New Roman" w:eastAsia="方正仿宋_GBK"/>
          <w:sz w:val="32"/>
          <w:szCs w:val="32"/>
          <w:lang w:val="en-US" w:eastAsia="zh-CN"/>
        </w:rPr>
        <w:t>716.28</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减少</w:t>
      </w:r>
      <w:r>
        <w:rPr>
          <w:rFonts w:hint="eastAsia" w:ascii="Times New Roman" w:hAnsi="Times New Roman" w:eastAsia="方正仿宋_GBK"/>
          <w:sz w:val="32"/>
          <w:szCs w:val="32"/>
          <w:lang w:val="en-US" w:eastAsia="zh-CN"/>
        </w:rPr>
        <w:t>19.44</w:t>
      </w:r>
      <w:r>
        <w:rPr>
          <w:rFonts w:hint="default" w:ascii="Times New Roman" w:hAnsi="Times New Roman" w:eastAsia="方正仿宋_GBK" w:cs="Times New Roman"/>
          <w:i w:val="0"/>
          <w:caps w:val="0"/>
          <w:color w:val="333333"/>
          <w:spacing w:val="0"/>
          <w:sz w:val="32"/>
          <w:szCs w:val="32"/>
          <w:shd w:val="clear" w:fill="FFFFFF"/>
        </w:rPr>
        <w:t>万元，</w:t>
      </w:r>
      <w:r>
        <w:rPr>
          <w:rFonts w:hint="eastAsia" w:ascii="Times New Roman" w:hAnsi="Times New Roman" w:eastAsia="方正仿宋_GBK" w:cs="Times New Roman"/>
          <w:i w:val="0"/>
          <w:caps w:val="0"/>
          <w:color w:val="333333"/>
          <w:spacing w:val="0"/>
          <w:sz w:val="32"/>
          <w:szCs w:val="32"/>
          <w:shd w:val="clear" w:fill="FFFFFF"/>
          <w:lang w:eastAsia="zh-CN"/>
        </w:rPr>
        <w:t>下降</w:t>
      </w:r>
      <w:r>
        <w:rPr>
          <w:rFonts w:hint="eastAsia" w:ascii="Times New Roman" w:hAnsi="Times New Roman" w:eastAsia="方正仿宋_GBK"/>
          <w:sz w:val="32"/>
          <w:szCs w:val="32"/>
          <w:lang w:val="en-US" w:eastAsia="zh-CN"/>
        </w:rPr>
        <w:t>2.71</w:t>
      </w:r>
      <w:r>
        <w:rPr>
          <w:rFonts w:hint="default" w:ascii="Times New Roman" w:hAnsi="Times New Roman" w:eastAsia="方正仿宋_GBK" w:cs="Times New Roman"/>
          <w:i w:val="0"/>
          <w:caps w:val="0"/>
          <w:color w:val="333333"/>
          <w:spacing w:val="0"/>
          <w:sz w:val="32"/>
          <w:szCs w:val="32"/>
          <w:shd w:val="clear" w:fill="FFFFFF"/>
        </w:rPr>
        <w:t>%)。</w:t>
      </w:r>
      <w:r>
        <w:rPr>
          <w:rFonts w:hint="eastAsia" w:ascii="Times New Roman" w:hAnsi="Times New Roman" w:eastAsia="方正仿宋_GBK" w:cs="Times New Roman"/>
          <w:i w:val="0"/>
          <w:caps w:val="0"/>
          <w:color w:val="333333"/>
          <w:spacing w:val="0"/>
          <w:sz w:val="32"/>
          <w:szCs w:val="32"/>
          <w:shd w:val="clear" w:fill="FFFFFF"/>
          <w:lang w:eastAsia="zh-CN"/>
        </w:rPr>
        <w:t>其中公务用车购置数</w:t>
      </w:r>
      <w:r>
        <w:rPr>
          <w:rFonts w:hint="eastAsia" w:ascii="Times New Roman" w:hAnsi="Times New Roman" w:eastAsia="方正仿宋_GBK" w:cs="Times New Roman"/>
          <w:i w:val="0"/>
          <w:caps w:val="0"/>
          <w:color w:val="333333"/>
          <w:spacing w:val="0"/>
          <w:sz w:val="32"/>
          <w:szCs w:val="32"/>
          <w:shd w:val="clear" w:fill="FFFFFF"/>
          <w:lang w:val="en-US" w:eastAsia="zh-CN"/>
        </w:rPr>
        <w:t>2辆，年末公务用车保有量232辆。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勐海县认真落实《党政机关厉行节约反对浪费条例》，切实从源头控制“三公”经费，细化“三公”经费预算管理，继续按照“零增长”的原则编制“三公”经费预算。进一步加强和规范预算执行管理，要求各部门认真落实“三公”经费管理规定，严格执行公务接待范围和标准，控制陪餐人数，规范公务用车管理使用。在做好预算管理这一源头上严格管控的基础上，大力推进“三公”经费管理的长效机制建设。要求各部门每季度定期统计报送厉行节约指标统计表，做好相关数据收集和分析工作，及时掌握“三公经费”动态，确保“三公经费”只减不增。勐海县</w:t>
      </w:r>
      <w:r>
        <w:rPr>
          <w:rFonts w:hint="eastAsia" w:ascii="Times New Roman" w:hAnsi="Times New Roman" w:eastAsia="方正仿宋_GBK" w:cs="Times New Roman"/>
          <w:i w:val="0"/>
          <w:caps w:val="0"/>
          <w:color w:val="333333"/>
          <w:spacing w:val="0"/>
          <w:sz w:val="32"/>
          <w:szCs w:val="32"/>
          <w:shd w:val="clear" w:fill="FFFFFF"/>
          <w:lang w:eastAsia="zh-CN"/>
        </w:rPr>
        <w:t>202</w:t>
      </w:r>
      <w:r>
        <w:rPr>
          <w:rFonts w:hint="eastAsia"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年“三公”经费决算汇总数较</w:t>
      </w:r>
      <w:r>
        <w:rPr>
          <w:rFonts w:hint="eastAsia" w:ascii="Times New Roman" w:hAnsi="Times New Roman" w:eastAsia="方正仿宋_GBK" w:cs="Times New Roman"/>
          <w:i w:val="0"/>
          <w:caps w:val="0"/>
          <w:color w:val="333333"/>
          <w:spacing w:val="0"/>
          <w:sz w:val="32"/>
          <w:szCs w:val="32"/>
          <w:shd w:val="clear" w:fill="FFFFFF"/>
          <w:lang w:eastAsia="zh-CN"/>
        </w:rPr>
        <w:t>年初预算数及</w:t>
      </w:r>
      <w:r>
        <w:rPr>
          <w:rFonts w:hint="default" w:ascii="Times New Roman" w:hAnsi="Times New Roman" w:eastAsia="方正仿宋_GBK" w:cs="Times New Roman"/>
          <w:i w:val="0"/>
          <w:caps w:val="0"/>
          <w:color w:val="333333"/>
          <w:spacing w:val="0"/>
          <w:sz w:val="32"/>
          <w:szCs w:val="32"/>
          <w:shd w:val="clear" w:fill="FFFFFF"/>
        </w:rPr>
        <w:t>上年</w:t>
      </w:r>
      <w:r>
        <w:rPr>
          <w:rFonts w:hint="eastAsia" w:ascii="Times New Roman" w:hAnsi="Times New Roman" w:eastAsia="方正仿宋_GBK" w:cs="Times New Roman"/>
          <w:i w:val="0"/>
          <w:caps w:val="0"/>
          <w:color w:val="333333"/>
          <w:spacing w:val="0"/>
          <w:sz w:val="32"/>
          <w:szCs w:val="32"/>
          <w:shd w:val="clear" w:fill="FFFFFF"/>
          <w:lang w:eastAsia="zh-CN"/>
        </w:rPr>
        <w:t>数</w:t>
      </w:r>
      <w:r>
        <w:rPr>
          <w:rFonts w:hint="default" w:ascii="Times New Roman" w:hAnsi="Times New Roman" w:eastAsia="方正仿宋_GBK" w:cs="Times New Roman"/>
          <w:i w:val="0"/>
          <w:caps w:val="0"/>
          <w:color w:val="333333"/>
          <w:spacing w:val="0"/>
          <w:sz w:val="32"/>
          <w:szCs w:val="32"/>
          <w:shd w:val="clear" w:fill="FFFFFF"/>
        </w:rPr>
        <w:t>下降，达到了中央“只减不增”的要求。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宋体" w:cs="Times New Roman"/>
          <w:i w:val="0"/>
          <w:caps w:val="0"/>
          <w:color w:val="333333"/>
          <w:spacing w:val="0"/>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附件：1.勐海县</w:t>
      </w:r>
      <w:r>
        <w:rPr>
          <w:rFonts w:hint="eastAsia" w:ascii="Times New Roman" w:hAnsi="Times New Roman" w:eastAsia="方正仿宋_GBK" w:cs="Times New Roman"/>
          <w:i w:val="0"/>
          <w:caps w:val="0"/>
          <w:color w:val="333333"/>
          <w:spacing w:val="0"/>
          <w:sz w:val="32"/>
          <w:szCs w:val="32"/>
          <w:shd w:val="clear" w:fill="FFFFFF"/>
          <w:lang w:eastAsia="zh-CN"/>
        </w:rPr>
        <w:t>202</w:t>
      </w:r>
      <w:r>
        <w:rPr>
          <w:rFonts w:hint="eastAsia"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年“三公”经费同口径决算数对比情况表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2.勐海县</w:t>
      </w:r>
      <w:r>
        <w:rPr>
          <w:rFonts w:hint="eastAsia" w:ascii="Times New Roman" w:hAnsi="Times New Roman" w:eastAsia="方正仿宋_GBK" w:cs="Times New Roman"/>
          <w:i w:val="0"/>
          <w:caps w:val="0"/>
          <w:color w:val="333333"/>
          <w:spacing w:val="0"/>
          <w:sz w:val="32"/>
          <w:szCs w:val="32"/>
          <w:shd w:val="clear" w:fill="FFFFFF"/>
          <w:lang w:eastAsia="zh-CN"/>
        </w:rPr>
        <w:t>202</w:t>
      </w:r>
      <w:r>
        <w:rPr>
          <w:rFonts w:hint="eastAsia"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年“三公”经费决算数</w:t>
      </w:r>
      <w:r>
        <w:rPr>
          <w:rFonts w:hint="eastAsia" w:ascii="Times New Roman" w:hAnsi="Times New Roman" w:eastAsia="方正仿宋_GBK" w:cs="Times New Roman"/>
          <w:i w:val="0"/>
          <w:caps w:val="0"/>
          <w:color w:val="333333"/>
          <w:spacing w:val="0"/>
          <w:sz w:val="32"/>
          <w:szCs w:val="32"/>
          <w:shd w:val="clear" w:fill="FFFFFF"/>
          <w:lang w:eastAsia="zh-CN"/>
        </w:rPr>
        <w:t>与年初预算数</w:t>
      </w:r>
      <w:r>
        <w:rPr>
          <w:rFonts w:hint="default" w:ascii="Times New Roman" w:hAnsi="Times New Roman" w:eastAsia="方正仿宋_GBK" w:cs="Times New Roman"/>
          <w:i w:val="0"/>
          <w:caps w:val="0"/>
          <w:color w:val="333333"/>
          <w:spacing w:val="0"/>
          <w:sz w:val="32"/>
          <w:szCs w:val="32"/>
          <w:shd w:val="clear" w:fill="FFFFFF"/>
        </w:rPr>
        <w:t>对比情况表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960" w:firstLineChars="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3.勐海县“三公”经费口径说明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sz w:val="32"/>
          <w:szCs w:val="32"/>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r>
        <w:rPr>
          <w:rFonts w:hint="default" w:ascii="Times New Roman" w:hAnsi="Times New Roman" w:cs="Times New Roman"/>
          <w:i w:val="0"/>
          <w:caps w:val="0"/>
          <w:color w:val="333333"/>
          <w:spacing w:val="0"/>
          <w:sz w:val="32"/>
          <w:szCs w:val="32"/>
          <w:shd w:val="clear" w:fill="FFFFFF"/>
        </w:rPr>
        <w:t> </w:t>
      </w: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附件1：</w:t>
      </w:r>
    </w:p>
    <w:p>
      <w:pPr>
        <w:widowControl/>
        <w:spacing w:after="150" w:line="480" w:lineRule="auto"/>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color w:val="333333"/>
          <w:kern w:val="0"/>
          <w:sz w:val="32"/>
          <w:szCs w:val="32"/>
          <w:shd w:val="clear" w:color="auto" w:fill="FFFFFF"/>
          <w:lang w:bidi="ar"/>
        </w:rPr>
        <w:t>勐海县</w:t>
      </w:r>
      <w:r>
        <w:rPr>
          <w:rFonts w:hint="eastAsia" w:ascii="Times New Roman" w:hAnsi="Times New Roman" w:eastAsia="方正黑体_GBK" w:cs="Times New Roman"/>
          <w:color w:val="333333"/>
          <w:kern w:val="0"/>
          <w:sz w:val="32"/>
          <w:szCs w:val="32"/>
          <w:shd w:val="clear" w:color="auto" w:fill="FFFFFF"/>
          <w:lang w:eastAsia="zh-CN" w:bidi="ar"/>
        </w:rPr>
        <w:t>202</w:t>
      </w:r>
      <w:r>
        <w:rPr>
          <w:rFonts w:hint="eastAsia" w:ascii="Times New Roman" w:hAnsi="Times New Roman" w:eastAsia="方正黑体_GBK" w:cs="Times New Roman"/>
          <w:color w:val="333333"/>
          <w:kern w:val="0"/>
          <w:sz w:val="32"/>
          <w:szCs w:val="32"/>
          <w:shd w:val="clear" w:color="auto" w:fill="FFFFFF"/>
          <w:lang w:val="en-US" w:eastAsia="zh-CN" w:bidi="ar"/>
        </w:rPr>
        <w:t>2</w:t>
      </w:r>
      <w:r>
        <w:rPr>
          <w:rFonts w:hint="default" w:ascii="Times New Roman" w:hAnsi="Times New Roman" w:eastAsia="方正黑体_GBK" w:cs="Times New Roman"/>
          <w:color w:val="333333"/>
          <w:kern w:val="0"/>
          <w:sz w:val="32"/>
          <w:szCs w:val="32"/>
          <w:shd w:val="clear" w:color="auto" w:fill="FFFFFF"/>
          <w:lang w:bidi="ar"/>
        </w:rPr>
        <w:t>年“三公”经费同口径决算数对比情况表</w:t>
      </w:r>
    </w:p>
    <w:p>
      <w:pPr>
        <w:widowControl/>
        <w:spacing w:after="150" w:line="480" w:lineRule="auto"/>
        <w:jc w:val="right"/>
      </w:pPr>
      <w:r>
        <w:rPr>
          <w:rFonts w:hint="eastAsia" w:ascii="黑体" w:hAnsi="宋体" w:eastAsia="黑体" w:cs="黑体"/>
          <w:color w:val="333333"/>
          <w:kern w:val="0"/>
          <w:sz w:val="24"/>
          <w:shd w:val="clear" w:color="auto" w:fill="FFFFFF"/>
          <w:lang w:bidi="ar"/>
        </w:rPr>
        <w:t>单位：万元</w:t>
      </w:r>
    </w:p>
    <w:tbl>
      <w:tblPr>
        <w:tblStyle w:val="5"/>
        <w:tblW w:w="8472" w:type="dxa"/>
        <w:tblInd w:w="0" w:type="dxa"/>
        <w:tblLayout w:type="fixed"/>
        <w:tblCellMar>
          <w:top w:w="0" w:type="dxa"/>
          <w:left w:w="108" w:type="dxa"/>
          <w:bottom w:w="0" w:type="dxa"/>
          <w:right w:w="108" w:type="dxa"/>
        </w:tblCellMar>
      </w:tblPr>
      <w:tblGrid>
        <w:gridCol w:w="1951"/>
        <w:gridCol w:w="1701"/>
        <w:gridCol w:w="1745"/>
        <w:gridCol w:w="1374"/>
        <w:gridCol w:w="1701"/>
      </w:tblGrid>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sz w:val="24"/>
                <w:szCs w:val="24"/>
              </w:rPr>
            </w:pPr>
            <w:r>
              <w:rPr>
                <w:rFonts w:hint="eastAsia" w:ascii="黑体" w:hAnsi="宋体" w:eastAsia="黑体" w:cs="宋体"/>
                <w:color w:val="000000"/>
                <w:kern w:val="0"/>
                <w:sz w:val="24"/>
                <w:szCs w:val="24"/>
                <w:lang w:bidi="ar"/>
              </w:rPr>
              <w:t xml:space="preserve">项 </w:t>
            </w:r>
            <w:r>
              <w:rPr>
                <w:rFonts w:hint="eastAsia" w:ascii="宋体" w:hAnsi="宋体" w:cs="宋体"/>
                <w:color w:val="000000"/>
                <w:kern w:val="0"/>
                <w:sz w:val="24"/>
                <w:szCs w:val="24"/>
                <w:lang w:bidi="ar"/>
              </w:rPr>
              <w:t> </w:t>
            </w:r>
            <w:r>
              <w:rPr>
                <w:rFonts w:hint="eastAsia" w:ascii="黑体" w:hAnsi="宋体" w:eastAsia="黑体" w:cs="宋体"/>
                <w:color w:val="000000"/>
                <w:kern w:val="0"/>
                <w:sz w:val="24"/>
                <w:szCs w:val="24"/>
                <w:lang w:bidi="ar"/>
              </w:rPr>
              <w:t>目</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202</w:t>
            </w:r>
            <w:r>
              <w:rPr>
                <w:rFonts w:hint="eastAsia" w:ascii="Times New Roman" w:hAnsi="Times New Roman" w:eastAsia="黑体" w:cs="Times New Roman"/>
                <w:color w:val="000000"/>
                <w:kern w:val="0"/>
                <w:sz w:val="24"/>
                <w:szCs w:val="24"/>
                <w:lang w:val="en-US" w:eastAsia="zh-CN" w:bidi="ar"/>
              </w:rPr>
              <w:t>1</w:t>
            </w:r>
            <w:r>
              <w:rPr>
                <w:rFonts w:hint="default" w:ascii="Times New Roman" w:hAnsi="Times New Roman" w:eastAsia="黑体" w:cs="Times New Roman"/>
                <w:color w:val="000000"/>
                <w:kern w:val="0"/>
                <w:sz w:val="24"/>
                <w:szCs w:val="24"/>
                <w:lang w:bidi="ar"/>
              </w:rPr>
              <w:t>年“三公”</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经费</w:t>
            </w:r>
          </w:p>
        </w:tc>
        <w:tc>
          <w:tcPr>
            <w:tcW w:w="174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202</w:t>
            </w:r>
            <w:r>
              <w:rPr>
                <w:rFonts w:hint="eastAsia" w:ascii="Times New Roman" w:hAnsi="Times New Roman" w:eastAsia="黑体" w:cs="Times New Roman"/>
                <w:color w:val="000000"/>
                <w:kern w:val="0"/>
                <w:sz w:val="24"/>
                <w:szCs w:val="24"/>
                <w:lang w:val="en-US" w:eastAsia="zh-CN" w:bidi="ar"/>
              </w:rPr>
              <w:t>2</w:t>
            </w:r>
            <w:r>
              <w:rPr>
                <w:rFonts w:hint="default" w:ascii="Times New Roman" w:hAnsi="Times New Roman" w:eastAsia="黑体" w:cs="Times New Roman"/>
                <w:color w:val="000000"/>
                <w:kern w:val="0"/>
                <w:sz w:val="24"/>
                <w:szCs w:val="24"/>
                <w:lang w:bidi="ar"/>
              </w:rPr>
              <w:t>年“三公”</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经费</w:t>
            </w:r>
          </w:p>
        </w:tc>
        <w:tc>
          <w:tcPr>
            <w:tcW w:w="1374"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较上年</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增减额</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较上年</w:t>
            </w:r>
          </w:p>
          <w:p>
            <w:pPr>
              <w:widowControl/>
              <w:spacing w:after="150" w:line="315" w:lineRule="atLeast"/>
              <w:jc w:val="center"/>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lang w:bidi="ar"/>
              </w:rPr>
              <w:t>增减幅度</w:t>
            </w:r>
          </w:p>
        </w:tc>
      </w:tr>
      <w:tr>
        <w:tblPrEx>
          <w:tblLayout w:type="fixed"/>
          <w:tblCellMar>
            <w:top w:w="0" w:type="dxa"/>
            <w:left w:w="108" w:type="dxa"/>
            <w:bottom w:w="0" w:type="dxa"/>
            <w:right w:w="108" w:type="dxa"/>
          </w:tblCellMar>
        </w:tblPrEx>
        <w:trPr>
          <w:cantSplit/>
          <w:trHeight w:val="1046"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合  计</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bidi="ar"/>
              </w:rPr>
            </w:pPr>
            <w:r>
              <w:rPr>
                <w:rFonts w:hint="eastAsia" w:ascii="Times New Roman" w:hAnsi="Times New Roman" w:eastAsia="黑体" w:cs="Times New Roman"/>
                <w:color w:val="auto"/>
                <w:kern w:val="0"/>
                <w:sz w:val="24"/>
                <w:szCs w:val="24"/>
                <w:lang w:val="en-US" w:eastAsia="zh-CN" w:bidi="ar"/>
              </w:rPr>
              <w:t>940.92</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eastAsia" w:ascii="Times New Roman" w:hAnsi="Times New Roman" w:eastAsia="黑体" w:cs="Times New Roman"/>
                <w:color w:val="auto"/>
                <w:kern w:val="0"/>
                <w:sz w:val="24"/>
                <w:szCs w:val="24"/>
                <w:lang w:val="en-US" w:eastAsia="zh-CN" w:bidi="ar"/>
              </w:rPr>
              <w:t>864.00</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76.92</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8.17</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Height w:val="1088" w:hRule="atLeas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1.因公出国（境）费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0</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0</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center"/>
              <w:rPr>
                <w:rFonts w:hint="default" w:ascii="Times New Roman" w:hAnsi="Times New Roman" w:eastAsia="黑体" w:cs="Times New Roman"/>
                <w:sz w:val="24"/>
                <w:szCs w:val="24"/>
              </w:rPr>
            </w:pP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2.公务接待费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171.37</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112.86</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58.51</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34.14</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3.公务用车购置及运行维护费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769.55</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751.14</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18.41</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2.39</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其中：</w:t>
            </w:r>
          </w:p>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（1）公务用车购置</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53.27</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54.30</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1.03</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1.93%</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（2）公务用车运行维护费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716.28</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696.84</w:t>
            </w:r>
          </w:p>
        </w:tc>
        <w:tc>
          <w:tcPr>
            <w:tcW w:w="1374"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19.44</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2.71</w:t>
            </w:r>
            <w:r>
              <w:rPr>
                <w:rFonts w:hint="default" w:ascii="Times New Roman" w:hAnsi="Times New Roman" w:eastAsia="黑体" w:cs="Times New Roman"/>
                <w:color w:val="auto"/>
                <w:kern w:val="0"/>
                <w:sz w:val="24"/>
                <w:szCs w:val="24"/>
                <w:lang w:val="en-US" w:eastAsia="zh-CN" w:bidi="ar"/>
              </w:rPr>
              <w:t>%</w:t>
            </w:r>
          </w:p>
        </w:tc>
      </w:tr>
    </w:tbl>
    <w:p>
      <w:pPr>
        <w:pStyle w:val="4"/>
        <w:keepNext w:val="0"/>
        <w:keepLines w:val="0"/>
        <w:widowControl/>
        <w:suppressLineNumbers w:val="0"/>
        <w:spacing w:before="0" w:beforeAutospacing="0" w:after="150" w:afterAutospacing="0" w:line="336"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eastAsia" w:ascii="宋体" w:hAnsi="宋体" w:eastAsia="宋体" w:cs="宋体"/>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sz w:val="21"/>
          <w:szCs w:val="21"/>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r>
        <w:rPr>
          <w:rFonts w:hint="default" w:ascii="Calibri" w:hAnsi="Calibri" w:cs="Calibri"/>
          <w:i w:val="0"/>
          <w:caps w:val="0"/>
          <w:color w:val="333333"/>
          <w:spacing w:val="0"/>
          <w:sz w:val="21"/>
          <w:szCs w:val="21"/>
          <w:shd w:val="clear" w:fill="FFFFFF"/>
        </w:rPr>
        <w:t> </w:t>
      </w: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Calibri" w:hAnsi="Calibri" w:cs="Calibri"/>
          <w:i w:val="0"/>
          <w:caps w:val="0"/>
          <w:color w:val="333333"/>
          <w:spacing w:val="0"/>
          <w:sz w:val="21"/>
          <w:szCs w:val="21"/>
          <w:shd w:val="clear" w:fill="FFFFFF"/>
        </w:rPr>
      </w:pPr>
    </w:p>
    <w:p>
      <w:pPr>
        <w:pStyle w:val="4"/>
        <w:keepNext w:val="0"/>
        <w:keepLines w:val="0"/>
        <w:widowControl/>
        <w:suppressLineNumbers w:val="0"/>
        <w:spacing w:before="0" w:beforeAutospacing="0" w:after="150" w:afterAutospacing="0" w:line="315" w:lineRule="atLeast"/>
        <w:ind w:left="0" w:right="0"/>
        <w:jc w:val="left"/>
        <w:rPr>
          <w:rFonts w:hint="default" w:ascii="Times New Roman" w:hAnsi="Times New Roman" w:eastAsia="方正仿宋_GBK" w:cs="Times New Roman"/>
          <w:sz w:val="32"/>
          <w:szCs w:val="32"/>
        </w:rPr>
      </w:pPr>
      <w:r>
        <w:rPr>
          <w:rFonts w:hint="default" w:ascii="Times New Roman" w:hAnsi="Times New Roman" w:cs="Times New Roman"/>
          <w:i w:val="0"/>
          <w:caps w:val="0"/>
          <w:color w:val="333333"/>
          <w:spacing w:val="0"/>
          <w:sz w:val="32"/>
          <w:szCs w:val="32"/>
          <w:shd w:val="clear" w:fill="FFFFFF"/>
        </w:rPr>
        <w:t> </w:t>
      </w:r>
      <w:r>
        <w:rPr>
          <w:rFonts w:hint="default" w:ascii="Times New Roman" w:hAnsi="Times New Roman" w:eastAsia="方正仿宋_GBK" w:cs="Times New Roman"/>
          <w:i w:val="0"/>
          <w:caps w:val="0"/>
          <w:color w:val="333333"/>
          <w:spacing w:val="0"/>
          <w:sz w:val="32"/>
          <w:szCs w:val="32"/>
          <w:shd w:val="clear" w:fill="FFFFFF"/>
        </w:rPr>
        <w:t> 附件</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default" w:ascii="Times New Roman" w:hAnsi="Times New Roman" w:eastAsia="方正仿宋_GBK" w:cs="Times New Roman"/>
          <w:i w:val="0"/>
          <w:caps w:val="0"/>
          <w:color w:val="333333"/>
          <w:spacing w:val="0"/>
          <w:sz w:val="32"/>
          <w:szCs w:val="32"/>
          <w:shd w:val="clear" w:fill="FFFFFF"/>
        </w:rPr>
        <w:t>：</w:t>
      </w:r>
    </w:p>
    <w:p>
      <w:pPr>
        <w:widowControl/>
        <w:spacing w:after="150" w:line="480" w:lineRule="auto"/>
        <w:jc w:val="center"/>
        <w:rPr>
          <w:rFonts w:hint="default" w:ascii="Times New Roman" w:hAnsi="Times New Roman" w:eastAsia="方正黑体_GBK" w:cs="Times New Roman"/>
          <w:color w:val="333333"/>
          <w:kern w:val="0"/>
          <w:sz w:val="32"/>
          <w:szCs w:val="32"/>
          <w:shd w:val="clear" w:color="auto" w:fill="FFFFFF"/>
          <w:lang w:bidi="ar"/>
        </w:rPr>
      </w:pPr>
      <w:r>
        <w:rPr>
          <w:rFonts w:hint="default" w:ascii="Times New Roman" w:hAnsi="Times New Roman" w:eastAsia="方正黑体_GBK" w:cs="Times New Roman"/>
          <w:color w:val="333333"/>
          <w:kern w:val="0"/>
          <w:sz w:val="32"/>
          <w:szCs w:val="32"/>
          <w:shd w:val="clear" w:color="auto" w:fill="FFFFFF"/>
          <w:lang w:bidi="ar"/>
        </w:rPr>
        <w:t>勐海县</w:t>
      </w:r>
      <w:r>
        <w:rPr>
          <w:rFonts w:hint="eastAsia" w:ascii="Times New Roman" w:hAnsi="Times New Roman" w:eastAsia="方正黑体_GBK" w:cs="Times New Roman"/>
          <w:color w:val="333333"/>
          <w:kern w:val="0"/>
          <w:sz w:val="32"/>
          <w:szCs w:val="32"/>
          <w:shd w:val="clear" w:color="auto" w:fill="FFFFFF"/>
          <w:lang w:eastAsia="zh-CN" w:bidi="ar"/>
        </w:rPr>
        <w:t>202</w:t>
      </w:r>
      <w:r>
        <w:rPr>
          <w:rFonts w:hint="eastAsia" w:ascii="Times New Roman" w:hAnsi="Times New Roman" w:eastAsia="方正黑体_GBK" w:cs="Times New Roman"/>
          <w:color w:val="333333"/>
          <w:kern w:val="0"/>
          <w:sz w:val="32"/>
          <w:szCs w:val="32"/>
          <w:shd w:val="clear" w:color="auto" w:fill="FFFFFF"/>
          <w:lang w:val="en-US" w:eastAsia="zh-CN" w:bidi="ar"/>
        </w:rPr>
        <w:t>2</w:t>
      </w:r>
      <w:r>
        <w:rPr>
          <w:rFonts w:hint="default" w:ascii="Times New Roman" w:hAnsi="Times New Roman" w:eastAsia="方正黑体_GBK" w:cs="Times New Roman"/>
          <w:color w:val="333333"/>
          <w:kern w:val="0"/>
          <w:sz w:val="32"/>
          <w:szCs w:val="32"/>
          <w:shd w:val="clear" w:color="auto" w:fill="FFFFFF"/>
          <w:lang w:bidi="ar"/>
        </w:rPr>
        <w:t>年“三公”经费决算数</w:t>
      </w:r>
      <w:r>
        <w:rPr>
          <w:rFonts w:hint="eastAsia" w:ascii="Times New Roman" w:hAnsi="Times New Roman" w:eastAsia="方正黑体_GBK" w:cs="Times New Roman"/>
          <w:color w:val="333333"/>
          <w:kern w:val="0"/>
          <w:sz w:val="32"/>
          <w:szCs w:val="32"/>
          <w:shd w:val="clear" w:color="auto" w:fill="FFFFFF"/>
          <w:lang w:eastAsia="zh-CN" w:bidi="ar"/>
        </w:rPr>
        <w:t>与年初预算数</w:t>
      </w:r>
      <w:r>
        <w:rPr>
          <w:rFonts w:hint="default" w:ascii="Times New Roman" w:hAnsi="Times New Roman" w:eastAsia="方正黑体_GBK" w:cs="Times New Roman"/>
          <w:color w:val="333333"/>
          <w:kern w:val="0"/>
          <w:sz w:val="32"/>
          <w:szCs w:val="32"/>
          <w:shd w:val="clear" w:color="auto" w:fill="FFFFFF"/>
          <w:lang w:bidi="ar"/>
        </w:rPr>
        <w:t>对比情况表</w:t>
      </w:r>
    </w:p>
    <w:p>
      <w:pPr>
        <w:widowControl/>
        <w:spacing w:after="150" w:line="480" w:lineRule="auto"/>
        <w:jc w:val="right"/>
      </w:pPr>
      <w:r>
        <w:rPr>
          <w:rFonts w:hint="eastAsia" w:ascii="黑体" w:hAnsi="宋体" w:eastAsia="黑体" w:cs="黑体"/>
          <w:color w:val="333333"/>
          <w:kern w:val="0"/>
          <w:sz w:val="24"/>
          <w:shd w:val="clear" w:color="auto" w:fill="FFFFFF"/>
          <w:lang w:bidi="ar"/>
        </w:rPr>
        <w:t>单位：万元</w:t>
      </w:r>
    </w:p>
    <w:tbl>
      <w:tblPr>
        <w:tblStyle w:val="5"/>
        <w:tblW w:w="8319" w:type="dxa"/>
        <w:tblInd w:w="0" w:type="dxa"/>
        <w:tblLayout w:type="fixed"/>
        <w:tblCellMar>
          <w:top w:w="0" w:type="dxa"/>
          <w:left w:w="108" w:type="dxa"/>
          <w:bottom w:w="0" w:type="dxa"/>
          <w:right w:w="108" w:type="dxa"/>
        </w:tblCellMar>
      </w:tblPr>
      <w:tblGrid>
        <w:gridCol w:w="1951"/>
        <w:gridCol w:w="1701"/>
        <w:gridCol w:w="1745"/>
        <w:gridCol w:w="1557"/>
        <w:gridCol w:w="1365"/>
      </w:tblGrid>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sz w:val="24"/>
                <w:szCs w:val="24"/>
              </w:rPr>
            </w:pPr>
            <w:r>
              <w:rPr>
                <w:rFonts w:hint="eastAsia" w:ascii="黑体" w:hAnsi="宋体" w:eastAsia="黑体" w:cs="宋体"/>
                <w:color w:val="000000"/>
                <w:kern w:val="0"/>
                <w:sz w:val="24"/>
                <w:szCs w:val="24"/>
                <w:lang w:bidi="ar"/>
              </w:rPr>
              <w:t xml:space="preserve">项 </w:t>
            </w:r>
            <w:r>
              <w:rPr>
                <w:rFonts w:hint="eastAsia" w:ascii="宋体" w:hAnsi="宋体" w:cs="宋体"/>
                <w:color w:val="000000"/>
                <w:kern w:val="0"/>
                <w:sz w:val="24"/>
                <w:szCs w:val="24"/>
                <w:lang w:bidi="ar"/>
              </w:rPr>
              <w:t> </w:t>
            </w:r>
            <w:r>
              <w:rPr>
                <w:rFonts w:hint="eastAsia" w:ascii="黑体" w:hAnsi="宋体" w:eastAsia="黑体" w:cs="宋体"/>
                <w:color w:val="000000"/>
                <w:kern w:val="0"/>
                <w:sz w:val="24"/>
                <w:szCs w:val="24"/>
                <w:lang w:bidi="ar"/>
              </w:rPr>
              <w:t>目</w:t>
            </w:r>
          </w:p>
        </w:tc>
        <w:tc>
          <w:tcPr>
            <w:tcW w:w="1701"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eastAsia" w:ascii="Times New Roman" w:hAnsi="Times New Roman" w:eastAsia="黑体" w:cs="Times New Roman"/>
                <w:color w:val="000000"/>
                <w:kern w:val="0"/>
                <w:sz w:val="24"/>
                <w:szCs w:val="24"/>
                <w:lang w:eastAsia="zh-CN" w:bidi="ar"/>
              </w:rPr>
            </w:pPr>
            <w:r>
              <w:rPr>
                <w:rFonts w:hint="eastAsia" w:ascii="Times New Roman" w:hAnsi="Times New Roman" w:eastAsia="黑体" w:cs="Times New Roman"/>
                <w:color w:val="000000"/>
                <w:kern w:val="0"/>
                <w:sz w:val="24"/>
                <w:szCs w:val="24"/>
                <w:lang w:val="en-US" w:eastAsia="zh-CN" w:bidi="ar"/>
              </w:rPr>
              <w:t>2022</w:t>
            </w:r>
            <w:r>
              <w:rPr>
                <w:rFonts w:hint="eastAsia" w:ascii="Times New Roman" w:hAnsi="Times New Roman" w:eastAsia="黑体" w:cs="Times New Roman"/>
                <w:color w:val="000000"/>
                <w:kern w:val="0"/>
                <w:sz w:val="24"/>
                <w:szCs w:val="24"/>
                <w:lang w:eastAsia="zh-CN" w:bidi="ar"/>
              </w:rPr>
              <w:t>年</w:t>
            </w:r>
          </w:p>
          <w:p>
            <w:pPr>
              <w:widowControl/>
              <w:spacing w:after="150" w:line="315" w:lineRule="atLeast"/>
              <w:jc w:val="center"/>
              <w:rPr>
                <w:rFonts w:hint="eastAsia" w:ascii="Times New Roman" w:hAnsi="Times New Roman" w:eastAsia="黑体" w:cs="Times New Roman"/>
                <w:sz w:val="24"/>
                <w:szCs w:val="24"/>
                <w:lang w:eastAsia="zh-CN"/>
              </w:rPr>
            </w:pPr>
            <w:r>
              <w:rPr>
                <w:rFonts w:hint="eastAsia" w:ascii="Times New Roman" w:hAnsi="Times New Roman" w:eastAsia="黑体" w:cs="Times New Roman"/>
                <w:color w:val="000000"/>
                <w:kern w:val="0"/>
                <w:sz w:val="24"/>
                <w:szCs w:val="24"/>
                <w:lang w:eastAsia="zh-CN" w:bidi="ar"/>
              </w:rPr>
              <w:t>年初预算数</w:t>
            </w:r>
          </w:p>
        </w:tc>
        <w:tc>
          <w:tcPr>
            <w:tcW w:w="174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color w:val="000000"/>
                <w:kern w:val="0"/>
                <w:sz w:val="24"/>
                <w:szCs w:val="24"/>
                <w:lang w:bidi="ar"/>
              </w:rPr>
            </w:pPr>
            <w:r>
              <w:rPr>
                <w:rFonts w:hint="eastAsia" w:ascii="Times New Roman" w:hAnsi="Times New Roman" w:eastAsia="黑体" w:cs="Times New Roman"/>
                <w:color w:val="000000"/>
                <w:kern w:val="0"/>
                <w:sz w:val="24"/>
                <w:szCs w:val="24"/>
                <w:lang w:eastAsia="zh-CN" w:bidi="ar"/>
              </w:rPr>
              <w:t>202</w:t>
            </w:r>
            <w:r>
              <w:rPr>
                <w:rFonts w:hint="eastAsia" w:ascii="Times New Roman" w:hAnsi="Times New Roman" w:eastAsia="黑体" w:cs="Times New Roman"/>
                <w:color w:val="000000"/>
                <w:kern w:val="0"/>
                <w:sz w:val="24"/>
                <w:szCs w:val="24"/>
                <w:lang w:val="en-US" w:eastAsia="zh-CN" w:bidi="ar"/>
              </w:rPr>
              <w:t>2</w:t>
            </w:r>
            <w:r>
              <w:rPr>
                <w:rFonts w:hint="default" w:ascii="Times New Roman" w:hAnsi="Times New Roman" w:eastAsia="黑体" w:cs="Times New Roman"/>
                <w:color w:val="000000"/>
                <w:kern w:val="0"/>
                <w:sz w:val="24"/>
                <w:szCs w:val="24"/>
                <w:lang w:bidi="ar"/>
              </w:rPr>
              <w:t>年</w:t>
            </w:r>
          </w:p>
          <w:p>
            <w:pPr>
              <w:widowControl/>
              <w:spacing w:after="150" w:line="315" w:lineRule="atLeast"/>
              <w:jc w:val="center"/>
              <w:rPr>
                <w:rFonts w:hint="eastAsia" w:ascii="Times New Roman" w:hAnsi="Times New Roman" w:eastAsia="黑体" w:cs="Times New Roman"/>
                <w:sz w:val="24"/>
                <w:szCs w:val="24"/>
                <w:lang w:eastAsia="zh-CN"/>
              </w:rPr>
            </w:pPr>
            <w:r>
              <w:rPr>
                <w:rFonts w:hint="eastAsia" w:ascii="Times New Roman" w:hAnsi="Times New Roman" w:eastAsia="黑体" w:cs="Times New Roman"/>
                <w:color w:val="000000"/>
                <w:kern w:val="0"/>
                <w:sz w:val="24"/>
                <w:szCs w:val="24"/>
                <w:lang w:eastAsia="zh-CN" w:bidi="ar"/>
              </w:rPr>
              <w:t>决算数</w:t>
            </w:r>
          </w:p>
        </w:tc>
        <w:tc>
          <w:tcPr>
            <w:tcW w:w="1557"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决算</w:t>
            </w:r>
            <w:r>
              <w:rPr>
                <w:rFonts w:hint="default" w:ascii="Times New Roman" w:hAnsi="Times New Roman" w:eastAsia="黑体" w:cs="Times New Roman"/>
                <w:color w:val="000000"/>
                <w:kern w:val="0"/>
                <w:sz w:val="24"/>
                <w:szCs w:val="24"/>
                <w:lang w:bidi="ar"/>
              </w:rPr>
              <w:t>较</w:t>
            </w:r>
            <w:r>
              <w:rPr>
                <w:rFonts w:hint="eastAsia" w:ascii="Times New Roman" w:hAnsi="Times New Roman" w:eastAsia="黑体" w:cs="Times New Roman"/>
                <w:color w:val="000000"/>
                <w:kern w:val="0"/>
                <w:sz w:val="24"/>
                <w:szCs w:val="24"/>
                <w:lang w:eastAsia="zh-CN" w:bidi="ar"/>
              </w:rPr>
              <w:t>年初预算</w:t>
            </w:r>
            <w:r>
              <w:rPr>
                <w:rFonts w:hint="default" w:ascii="Times New Roman" w:hAnsi="Times New Roman" w:eastAsia="黑体" w:cs="Times New Roman"/>
                <w:color w:val="000000"/>
                <w:kern w:val="0"/>
                <w:sz w:val="24"/>
                <w:szCs w:val="24"/>
                <w:lang w:bidi="ar"/>
              </w:rPr>
              <w:t>增减额</w:t>
            </w:r>
          </w:p>
        </w:tc>
        <w:tc>
          <w:tcPr>
            <w:tcW w:w="1365" w:type="dxa"/>
            <w:tcBorders>
              <w:top w:val="single" w:color="auto" w:sz="4" w:space="0"/>
              <w:left w:val="nil"/>
              <w:bottom w:val="single" w:color="auto" w:sz="4" w:space="0"/>
              <w:right w:val="single" w:color="auto" w:sz="4" w:space="0"/>
            </w:tcBorders>
            <w:vAlign w:val="center"/>
          </w:tcPr>
          <w:p>
            <w:pPr>
              <w:widowControl/>
              <w:spacing w:after="150" w:line="315" w:lineRule="atLeast"/>
              <w:jc w:val="center"/>
              <w:rPr>
                <w:rFonts w:hint="default" w:ascii="Times New Roman" w:hAnsi="Times New Roman" w:eastAsia="黑体" w:cs="Times New Roman"/>
                <w:sz w:val="24"/>
                <w:szCs w:val="24"/>
              </w:rPr>
            </w:pPr>
            <w:r>
              <w:rPr>
                <w:rFonts w:hint="eastAsia" w:ascii="Times New Roman" w:hAnsi="Times New Roman" w:eastAsia="黑体" w:cs="Times New Roman"/>
                <w:color w:val="000000"/>
                <w:kern w:val="0"/>
                <w:sz w:val="24"/>
                <w:szCs w:val="24"/>
                <w:lang w:eastAsia="zh-CN" w:bidi="ar"/>
              </w:rPr>
              <w:t>决算</w:t>
            </w:r>
            <w:r>
              <w:rPr>
                <w:rFonts w:hint="default" w:ascii="Times New Roman" w:hAnsi="Times New Roman" w:eastAsia="黑体" w:cs="Times New Roman"/>
                <w:color w:val="000000"/>
                <w:kern w:val="0"/>
                <w:sz w:val="24"/>
                <w:szCs w:val="24"/>
                <w:lang w:bidi="ar"/>
              </w:rPr>
              <w:t>较</w:t>
            </w:r>
            <w:r>
              <w:rPr>
                <w:rFonts w:hint="eastAsia" w:ascii="Times New Roman" w:hAnsi="Times New Roman" w:eastAsia="黑体" w:cs="Times New Roman"/>
                <w:color w:val="000000"/>
                <w:kern w:val="0"/>
                <w:sz w:val="24"/>
                <w:szCs w:val="24"/>
                <w:lang w:eastAsia="zh-CN" w:bidi="ar"/>
              </w:rPr>
              <w:t>年初预算</w:t>
            </w:r>
            <w:r>
              <w:rPr>
                <w:rFonts w:hint="default" w:ascii="Times New Roman" w:hAnsi="Times New Roman" w:eastAsia="黑体" w:cs="Times New Roman"/>
                <w:color w:val="000000"/>
                <w:kern w:val="0"/>
                <w:sz w:val="24"/>
                <w:szCs w:val="24"/>
                <w:lang w:bidi="ar"/>
              </w:rPr>
              <w:t>增减幅度</w:t>
            </w:r>
          </w:p>
        </w:tc>
      </w:tr>
      <w:tr>
        <w:tblPrEx>
          <w:tblLayout w:type="fixed"/>
          <w:tblCellMar>
            <w:top w:w="0" w:type="dxa"/>
            <w:left w:w="108" w:type="dxa"/>
            <w:bottom w:w="0" w:type="dxa"/>
            <w:right w:w="108" w:type="dxa"/>
          </w:tblCellMar>
        </w:tblPrEx>
        <w:trPr>
          <w:cantSplit/>
          <w:trHeight w:val="1046" w:hRule="atLeast"/>
        </w:trPr>
        <w:tc>
          <w:tcPr>
            <w:tcW w:w="1951" w:type="dxa"/>
            <w:tcBorders>
              <w:top w:val="single" w:color="auto" w:sz="4" w:space="0"/>
              <w:left w:val="single" w:color="auto" w:sz="4" w:space="0"/>
              <w:bottom w:val="single" w:color="auto" w:sz="4" w:space="0"/>
              <w:right w:val="single" w:color="auto" w:sz="4" w:space="0"/>
            </w:tcBorders>
            <w:vAlign w:val="center"/>
          </w:tcPr>
          <w:p>
            <w:pPr>
              <w:widowControl/>
              <w:spacing w:after="150" w:line="315" w:lineRule="atLeast"/>
              <w:jc w:val="center"/>
              <w:rPr>
                <w:rFonts w:hint="eastAsia" w:ascii="黑体" w:hAnsi="黑体" w:eastAsia="黑体" w:cs="黑体"/>
                <w:sz w:val="24"/>
                <w:szCs w:val="24"/>
              </w:rPr>
            </w:pPr>
            <w:r>
              <w:rPr>
                <w:rFonts w:hint="eastAsia" w:ascii="黑体" w:hAnsi="黑体" w:eastAsia="黑体" w:cs="黑体"/>
                <w:color w:val="000000"/>
                <w:kern w:val="0"/>
                <w:sz w:val="24"/>
                <w:szCs w:val="24"/>
                <w:lang w:bidi="ar"/>
              </w:rPr>
              <w:t>合  计</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bidi="ar"/>
              </w:rPr>
            </w:pPr>
            <w:r>
              <w:rPr>
                <w:rFonts w:hint="default" w:ascii="Times New Roman" w:hAnsi="Times New Roman" w:eastAsia="黑体" w:cs="Times New Roman"/>
                <w:color w:val="auto"/>
                <w:kern w:val="0"/>
                <w:sz w:val="24"/>
                <w:szCs w:val="24"/>
                <w:lang w:val="en-US" w:eastAsia="zh-CN" w:bidi="ar"/>
              </w:rPr>
              <w:t>1,</w:t>
            </w:r>
            <w:r>
              <w:rPr>
                <w:rFonts w:hint="eastAsia" w:ascii="Times New Roman" w:hAnsi="Times New Roman" w:eastAsia="黑体" w:cs="Times New Roman"/>
                <w:color w:val="auto"/>
                <w:kern w:val="0"/>
                <w:sz w:val="24"/>
                <w:szCs w:val="24"/>
                <w:lang w:val="en-US" w:eastAsia="zh-CN" w:bidi="ar"/>
              </w:rPr>
              <w:t>689.94</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eastAsia" w:ascii="Times New Roman" w:hAnsi="Times New Roman" w:eastAsia="黑体" w:cs="Times New Roman"/>
                <w:color w:val="auto"/>
                <w:kern w:val="0"/>
                <w:sz w:val="24"/>
                <w:szCs w:val="24"/>
                <w:lang w:val="en-US" w:eastAsia="zh-CN" w:bidi="ar"/>
              </w:rPr>
              <w:t>864.00</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825.94</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48.87</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Height w:val="1088" w:hRule="atLeas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1.因公出国（境）费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3.00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0</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-3.00</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sz w:val="24"/>
                <w:szCs w:val="24"/>
                <w:lang w:val="en-US" w:eastAsia="zh-CN"/>
              </w:rPr>
            </w:pPr>
            <w:r>
              <w:rPr>
                <w:rFonts w:hint="eastAsia" w:ascii="Times New Roman" w:hAnsi="Times New Roman" w:eastAsia="黑体" w:cs="Times New Roman"/>
                <w:color w:val="auto"/>
                <w:kern w:val="0"/>
                <w:sz w:val="24"/>
                <w:szCs w:val="24"/>
                <w:lang w:val="en-US" w:eastAsia="zh-CN" w:bidi="ar"/>
              </w:rPr>
              <w:t>-100%</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2.公务接待费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704.76</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112.86</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591.90</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83.99</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3.公务用车购置及运行维护费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982.18</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751.14</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231</w:t>
            </w:r>
            <w:bookmarkStart w:id="0" w:name="_GoBack"/>
            <w:bookmarkEnd w:id="0"/>
            <w:r>
              <w:rPr>
                <w:rFonts w:hint="eastAsia" w:ascii="Times New Roman" w:hAnsi="Times New Roman" w:eastAsia="黑体" w:cs="Times New Roman"/>
                <w:color w:val="auto"/>
                <w:kern w:val="0"/>
                <w:sz w:val="24"/>
                <w:szCs w:val="24"/>
                <w:lang w:val="en-US" w:eastAsia="zh-CN" w:bidi="ar"/>
              </w:rPr>
              <w:t>.04</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w:t>
            </w:r>
            <w:r>
              <w:rPr>
                <w:rFonts w:hint="eastAsia" w:ascii="Times New Roman" w:hAnsi="Times New Roman" w:eastAsia="黑体" w:cs="Times New Roman"/>
                <w:color w:val="auto"/>
                <w:kern w:val="0"/>
                <w:sz w:val="24"/>
                <w:szCs w:val="24"/>
                <w:lang w:val="en-US" w:eastAsia="zh-CN" w:bidi="ar"/>
              </w:rPr>
              <w:t>23.52</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其中：</w:t>
            </w:r>
          </w:p>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（1）公务用车购置</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7</w:t>
            </w:r>
            <w:r>
              <w:rPr>
                <w:rFonts w:hint="default" w:ascii="Times New Roman" w:hAnsi="Times New Roman" w:eastAsia="黑体" w:cs="Times New Roman"/>
                <w:color w:val="auto"/>
                <w:kern w:val="0"/>
                <w:sz w:val="24"/>
                <w:szCs w:val="24"/>
                <w:lang w:val="en-US" w:eastAsia="zh-CN" w:bidi="ar"/>
              </w:rPr>
              <w:t>0</w:t>
            </w:r>
            <w:r>
              <w:rPr>
                <w:rFonts w:hint="eastAsia" w:ascii="Times New Roman" w:hAnsi="Times New Roman" w:eastAsia="黑体" w:cs="Times New Roman"/>
                <w:color w:val="auto"/>
                <w:kern w:val="0"/>
                <w:sz w:val="24"/>
                <w:szCs w:val="24"/>
                <w:lang w:val="en-US" w:eastAsia="zh-CN" w:bidi="ar"/>
              </w:rPr>
              <w:t>.00</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54.30</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-15.70</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-22.43</w:t>
            </w:r>
            <w:r>
              <w:rPr>
                <w:rFonts w:hint="default" w:ascii="Times New Roman" w:hAnsi="Times New Roman" w:eastAsia="黑体" w:cs="Times New Roman"/>
                <w:color w:val="auto"/>
                <w:kern w:val="0"/>
                <w:sz w:val="24"/>
                <w:szCs w:val="24"/>
                <w:lang w:val="en-US" w:eastAsia="zh-CN" w:bidi="ar"/>
              </w:rPr>
              <w:t>%</w:t>
            </w:r>
          </w:p>
        </w:tc>
      </w:tr>
      <w:tr>
        <w:tblPrEx>
          <w:tblLayout w:type="fixed"/>
          <w:tblCellMar>
            <w:top w:w="0" w:type="dxa"/>
            <w:left w:w="108" w:type="dxa"/>
            <w:bottom w:w="0" w:type="dxa"/>
            <w:right w:w="108" w:type="dxa"/>
          </w:tblCellMar>
        </w:tblPrEx>
        <w:trPr>
          <w:cantSplit/>
        </w:trPr>
        <w:tc>
          <w:tcPr>
            <w:tcW w:w="1951" w:type="dxa"/>
            <w:tcBorders>
              <w:top w:val="single" w:color="auto" w:sz="4" w:space="0"/>
              <w:left w:val="single" w:color="auto" w:sz="4" w:space="0"/>
              <w:bottom w:val="single" w:color="auto" w:sz="4" w:space="0"/>
              <w:right w:val="single" w:color="auto" w:sz="4" w:space="0"/>
            </w:tcBorders>
            <w:vAlign w:val="top"/>
          </w:tcPr>
          <w:p>
            <w:pPr>
              <w:widowControl/>
              <w:spacing w:after="150" w:line="315" w:lineRule="atLeast"/>
              <w:jc w:val="left"/>
              <w:rPr>
                <w:rFonts w:hint="eastAsia" w:ascii="黑体" w:hAnsi="黑体" w:eastAsia="黑体" w:cs="黑体"/>
                <w:sz w:val="24"/>
                <w:szCs w:val="24"/>
              </w:rPr>
            </w:pPr>
            <w:r>
              <w:rPr>
                <w:rFonts w:hint="eastAsia" w:ascii="黑体" w:hAnsi="黑体" w:eastAsia="黑体" w:cs="黑体"/>
                <w:color w:val="000000"/>
                <w:kern w:val="0"/>
                <w:sz w:val="24"/>
                <w:szCs w:val="24"/>
                <w:lang w:bidi="ar"/>
              </w:rPr>
              <w:t>（2）公务用车运行维护费</w:t>
            </w:r>
          </w:p>
        </w:tc>
        <w:tc>
          <w:tcPr>
            <w:tcW w:w="1701"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cs="Times New Roman"/>
                <w:color w:val="333333"/>
                <w:kern w:val="0"/>
                <w:sz w:val="24"/>
                <w:szCs w:val="24"/>
                <w:lang w:val="en-US" w:eastAsia="zh-CN" w:bidi="ar"/>
              </w:rPr>
            </w:pPr>
            <w:r>
              <w:rPr>
                <w:rFonts w:hint="default" w:ascii="Times New Roman" w:hAnsi="Times New Roman" w:eastAsia="黑体" w:cs="Times New Roman"/>
                <w:color w:val="auto"/>
                <w:kern w:val="0"/>
                <w:sz w:val="24"/>
                <w:szCs w:val="24"/>
                <w:lang w:val="en-US" w:eastAsia="zh-CN" w:bidi="ar"/>
              </w:rPr>
              <w:t>91</w:t>
            </w:r>
            <w:r>
              <w:rPr>
                <w:rFonts w:hint="eastAsia" w:ascii="Times New Roman" w:hAnsi="Times New Roman" w:eastAsia="黑体" w:cs="Times New Roman"/>
                <w:color w:val="auto"/>
                <w:kern w:val="0"/>
                <w:sz w:val="24"/>
                <w:szCs w:val="24"/>
                <w:lang w:val="en-US" w:eastAsia="zh-CN" w:bidi="ar"/>
              </w:rPr>
              <w:t>2.18</w:t>
            </w:r>
          </w:p>
        </w:tc>
        <w:tc>
          <w:tcPr>
            <w:tcW w:w="174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宋体" w:cs="Times New Roman"/>
                <w:i w:val="0"/>
                <w:color w:val="auto"/>
                <w:kern w:val="0"/>
                <w:sz w:val="24"/>
                <w:szCs w:val="24"/>
                <w:u w:val="none"/>
                <w:lang w:val="en-US" w:eastAsia="zh-CN" w:bidi="ar"/>
              </w:rPr>
              <w:t>696.84</w:t>
            </w:r>
          </w:p>
        </w:tc>
        <w:tc>
          <w:tcPr>
            <w:tcW w:w="1557"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333333"/>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-215.34</w:t>
            </w:r>
          </w:p>
        </w:tc>
        <w:tc>
          <w:tcPr>
            <w:tcW w:w="1365" w:type="dxa"/>
            <w:tcBorders>
              <w:top w:val="single" w:color="auto" w:sz="4" w:space="0"/>
              <w:left w:val="nil"/>
              <w:bottom w:val="single" w:color="auto" w:sz="4" w:space="0"/>
              <w:right w:val="single" w:color="auto" w:sz="4" w:space="0"/>
            </w:tcBorders>
            <w:vAlign w:val="center"/>
          </w:tcPr>
          <w:p>
            <w:pPr>
              <w:widowControl/>
              <w:spacing w:after="150" w:line="480" w:lineRule="auto"/>
              <w:jc w:val="right"/>
              <w:rPr>
                <w:rFonts w:hint="default" w:ascii="Times New Roman" w:hAnsi="Times New Roman" w:eastAsia="黑体" w:cs="Times New Roman"/>
                <w:color w:val="auto"/>
                <w:kern w:val="0"/>
                <w:sz w:val="24"/>
                <w:szCs w:val="24"/>
                <w:lang w:val="en-US" w:eastAsia="zh-CN" w:bidi="ar"/>
              </w:rPr>
            </w:pPr>
            <w:r>
              <w:rPr>
                <w:rFonts w:hint="eastAsia" w:ascii="Times New Roman" w:hAnsi="Times New Roman" w:eastAsia="黑体" w:cs="Times New Roman"/>
                <w:color w:val="auto"/>
                <w:kern w:val="0"/>
                <w:sz w:val="24"/>
                <w:szCs w:val="24"/>
                <w:lang w:val="en-US" w:eastAsia="zh-CN" w:bidi="ar"/>
              </w:rPr>
              <w:t>-23.61%</w:t>
            </w:r>
          </w:p>
        </w:tc>
      </w:tr>
    </w:tbl>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eastAsia" w:ascii="方正仿宋_GBK" w:hAnsi="方正仿宋_GBK" w:eastAsia="方正仿宋_GBK" w:cs="方正仿宋_GBK"/>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i w:val="0"/>
          <w:caps w:val="0"/>
          <w:color w:val="333333"/>
          <w:spacing w:val="0"/>
          <w:sz w:val="32"/>
          <w:szCs w:val="32"/>
          <w:shd w:val="clear" w:fill="FFFFFF"/>
        </w:rPr>
      </w:pPr>
    </w:p>
    <w:p>
      <w:pPr>
        <w:pStyle w:val="4"/>
        <w:keepNext w:val="0"/>
        <w:keepLines w:val="0"/>
        <w:widowControl/>
        <w:suppressLineNumbers w:val="0"/>
        <w:spacing w:before="0" w:beforeAutospacing="0" w:after="150" w:afterAutospacing="0" w:line="336" w:lineRule="atLeast"/>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333333"/>
          <w:spacing w:val="0"/>
          <w:sz w:val="32"/>
          <w:szCs w:val="32"/>
          <w:shd w:val="clear" w:fill="FFFFFF"/>
        </w:rPr>
        <w:t>附件3：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勐海县“三公”经费口径说明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lang w:eastAsia="zh-CN"/>
        </w:rPr>
        <w:t>一、</w:t>
      </w:r>
      <w:r>
        <w:rPr>
          <w:rFonts w:hint="eastAsia" w:ascii="方正仿宋_GBK" w:hAnsi="方正仿宋_GBK" w:eastAsia="方正仿宋_GBK" w:cs="方正仿宋_GBK"/>
          <w:i w:val="0"/>
          <w:caps w:val="0"/>
          <w:color w:val="333333"/>
          <w:spacing w:val="0"/>
          <w:sz w:val="32"/>
          <w:szCs w:val="32"/>
          <w:shd w:val="clear" w:fill="FFFFFF"/>
        </w:rPr>
        <w:t>按照党中央、国务院有关文件及部门预算管理有关规定，“三公”经费包括因公出国（境）费、公务用车购置及运行维护费、公务接待费。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（一）因公出国（境）费，指单位工作人员公务出国（境）的国际旅费、国外城市间交通费、住宿费、伙食费、培训费、公杂费等支出。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二）公务用车购置费，指单位公务用车车辆购置支出（含车辆购置税）；公务用车运行维护费，指单位按规定保留的公务用车燃料费、维修费、过路过桥费、保险费、安全奖励费用等支出；公务用车指用于履行公务的机动车辆，包括省部级干部专车、一般公务用车和执法执勤用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（三）公务接待费，指单位按规定开支的各类公务接待（含外宾接待）费用。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32"/>
          <w:szCs w:val="32"/>
        </w:rPr>
      </w:pPr>
      <w:r>
        <w:rPr>
          <w:rFonts w:hint="eastAsia" w:ascii="方正仿宋_GBK" w:hAnsi="方正仿宋_GBK" w:eastAsia="方正仿宋_GBK" w:cs="方正仿宋_GBK"/>
          <w:i w:val="0"/>
          <w:caps w:val="0"/>
          <w:color w:val="333333"/>
          <w:spacing w:val="0"/>
          <w:sz w:val="32"/>
          <w:szCs w:val="32"/>
          <w:shd w:val="clear" w:fill="FFFFFF"/>
        </w:rPr>
        <w:t>二、“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default" w:ascii="Calibri" w:hAnsi="Calibri" w:cs="Calibri"/>
          <w:i w:val="0"/>
          <w:caps w:val="0"/>
          <w:color w:val="333333"/>
          <w:spacing w:val="0"/>
          <w:sz w:val="32"/>
          <w:szCs w:val="32"/>
          <w:shd w:val="clear" w:fill="FFFFFF"/>
        </w:rPr>
        <w:t>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4676775</wp:posOffset>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8.25pt;margin-top:-10pt;height:144pt;width:144pt;mso-position-horizontal-relative:margin;mso-wrap-style:none;z-index:251658240;mso-width-relative:page;mso-height-relative:page;" filled="f" stroked="f" coordsize="21600,21600" o:gfxdata="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9ssd2AAAAAw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75D0"/>
    <w:rsid w:val="011B514E"/>
    <w:rsid w:val="01614217"/>
    <w:rsid w:val="05532BB2"/>
    <w:rsid w:val="05FA4ECC"/>
    <w:rsid w:val="06B32C03"/>
    <w:rsid w:val="06B97B67"/>
    <w:rsid w:val="07C4051E"/>
    <w:rsid w:val="0A113A60"/>
    <w:rsid w:val="0A562EBD"/>
    <w:rsid w:val="0CF40CBD"/>
    <w:rsid w:val="0D42410C"/>
    <w:rsid w:val="0E0D3A61"/>
    <w:rsid w:val="0E171E65"/>
    <w:rsid w:val="0FBF22E2"/>
    <w:rsid w:val="10172F68"/>
    <w:rsid w:val="11266F56"/>
    <w:rsid w:val="170754E2"/>
    <w:rsid w:val="175F79DF"/>
    <w:rsid w:val="190B49DE"/>
    <w:rsid w:val="1ABC46CC"/>
    <w:rsid w:val="1EA03844"/>
    <w:rsid w:val="226F3BA0"/>
    <w:rsid w:val="22B75A4A"/>
    <w:rsid w:val="22C16A1A"/>
    <w:rsid w:val="23685C5D"/>
    <w:rsid w:val="241A2A22"/>
    <w:rsid w:val="244C4F96"/>
    <w:rsid w:val="24A2465B"/>
    <w:rsid w:val="25033062"/>
    <w:rsid w:val="255D4FB8"/>
    <w:rsid w:val="25C0739C"/>
    <w:rsid w:val="274937D2"/>
    <w:rsid w:val="27743ACB"/>
    <w:rsid w:val="278F7697"/>
    <w:rsid w:val="282D5D07"/>
    <w:rsid w:val="2952757C"/>
    <w:rsid w:val="295529EB"/>
    <w:rsid w:val="29794CCE"/>
    <w:rsid w:val="29F948E4"/>
    <w:rsid w:val="2B391919"/>
    <w:rsid w:val="2BC461C4"/>
    <w:rsid w:val="2C4E5FBC"/>
    <w:rsid w:val="2D3F512F"/>
    <w:rsid w:val="2D4F3B80"/>
    <w:rsid w:val="2DDE2913"/>
    <w:rsid w:val="2E901269"/>
    <w:rsid w:val="2F946ADF"/>
    <w:rsid w:val="30547403"/>
    <w:rsid w:val="3167130D"/>
    <w:rsid w:val="318260F9"/>
    <w:rsid w:val="345046D2"/>
    <w:rsid w:val="35B75B98"/>
    <w:rsid w:val="368171D0"/>
    <w:rsid w:val="388D0E9A"/>
    <w:rsid w:val="39E92CF8"/>
    <w:rsid w:val="3B9D46C9"/>
    <w:rsid w:val="3BF46C0C"/>
    <w:rsid w:val="3CA829AF"/>
    <w:rsid w:val="3E92355B"/>
    <w:rsid w:val="402A75E0"/>
    <w:rsid w:val="411829F7"/>
    <w:rsid w:val="414304EC"/>
    <w:rsid w:val="419A6007"/>
    <w:rsid w:val="42267207"/>
    <w:rsid w:val="43C07D6B"/>
    <w:rsid w:val="451207E1"/>
    <w:rsid w:val="46A61B29"/>
    <w:rsid w:val="488275D8"/>
    <w:rsid w:val="4A204943"/>
    <w:rsid w:val="4B4F6C6A"/>
    <w:rsid w:val="4B6B4F2A"/>
    <w:rsid w:val="4C25453C"/>
    <w:rsid w:val="4C3E7B3A"/>
    <w:rsid w:val="4D7A4FEB"/>
    <w:rsid w:val="4E4A27F8"/>
    <w:rsid w:val="4E5B7ED2"/>
    <w:rsid w:val="4F6F16E5"/>
    <w:rsid w:val="4FB07A75"/>
    <w:rsid w:val="532623BB"/>
    <w:rsid w:val="55A51FFF"/>
    <w:rsid w:val="569C7843"/>
    <w:rsid w:val="56A82843"/>
    <w:rsid w:val="56F60CB1"/>
    <w:rsid w:val="576E1312"/>
    <w:rsid w:val="57785225"/>
    <w:rsid w:val="57BC76EE"/>
    <w:rsid w:val="58334395"/>
    <w:rsid w:val="590371BA"/>
    <w:rsid w:val="5D2E2A03"/>
    <w:rsid w:val="5DE363E5"/>
    <w:rsid w:val="5E04486C"/>
    <w:rsid w:val="5E9F7730"/>
    <w:rsid w:val="60B361EF"/>
    <w:rsid w:val="61107248"/>
    <w:rsid w:val="619E25D7"/>
    <w:rsid w:val="62E934B6"/>
    <w:rsid w:val="633B3FA2"/>
    <w:rsid w:val="63405108"/>
    <w:rsid w:val="641D35A7"/>
    <w:rsid w:val="64F71118"/>
    <w:rsid w:val="656F5532"/>
    <w:rsid w:val="65A55B00"/>
    <w:rsid w:val="67B20E6D"/>
    <w:rsid w:val="68551A44"/>
    <w:rsid w:val="68777F12"/>
    <w:rsid w:val="688E0146"/>
    <w:rsid w:val="68D65696"/>
    <w:rsid w:val="6BA110E3"/>
    <w:rsid w:val="6D245464"/>
    <w:rsid w:val="72B74E56"/>
    <w:rsid w:val="74256A73"/>
    <w:rsid w:val="78B028FE"/>
    <w:rsid w:val="7944249D"/>
    <w:rsid w:val="79470CD8"/>
    <w:rsid w:val="797F0531"/>
    <w:rsid w:val="79A758E7"/>
    <w:rsid w:val="7A4F33D0"/>
    <w:rsid w:val="7BE55807"/>
    <w:rsid w:val="7CBC5F1C"/>
    <w:rsid w:val="7D1F4C4F"/>
    <w:rsid w:val="7DC22F0C"/>
    <w:rsid w:val="7E65299E"/>
    <w:rsid w:val="7EB9576C"/>
    <w:rsid w:val="7EF9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2023-09-12T01:35:00Z</cp:lastPrinted>
  <dcterms:modified xsi:type="dcterms:W3CDTF">2023-10-09T07:26:52Z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