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年勐海县一般公共预算、政府性基金和国有资本经营预算支出执行变动情况说明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both"/>
        <w:textAlignment w:val="auto"/>
        <w:rPr>
          <w:rFonts w:hint="default" w:ascii="Times New Roman" w:hAnsi="Times New Roman" w:eastAsia="方正楷体_GBK" w:cs="Times New Roman"/>
          <w:sz w:val="32"/>
          <w:szCs w:val="32"/>
        </w:rPr>
      </w:pPr>
      <w:r>
        <w:rPr>
          <w:rStyle w:val="6"/>
          <w:rFonts w:hint="eastAsia" w:ascii="方正黑体_GBK" w:hAnsi="方正黑体_GBK" w:eastAsia="方正黑体_GBK" w:cs="方正黑体_GBK"/>
          <w:sz w:val="32"/>
          <w:szCs w:val="32"/>
        </w:rPr>
        <w:t>一、</w:t>
      </w:r>
      <w:r>
        <w:rPr>
          <w:rStyle w:val="7"/>
          <w:rFonts w:hint="eastAsia" w:ascii="方正黑体_GBK" w:hAnsi="方正黑体_GBK" w:eastAsia="方正黑体_GBK" w:cs="方正黑体_GBK"/>
          <w:b w:val="0"/>
          <w:bCs/>
          <w:sz w:val="32"/>
          <w:szCs w:val="32"/>
        </w:rPr>
        <w:t>202</w:t>
      </w:r>
      <w:r>
        <w:rPr>
          <w:rStyle w:val="7"/>
          <w:rFonts w:hint="eastAsia" w:ascii="方正黑体_GBK" w:hAnsi="方正黑体_GBK" w:eastAsia="方正黑体_GBK" w:cs="方正黑体_GBK"/>
          <w:b w:val="0"/>
          <w:bCs/>
          <w:sz w:val="32"/>
          <w:szCs w:val="32"/>
          <w:lang w:val="en-US" w:eastAsia="zh-CN"/>
        </w:rPr>
        <w:t>1</w:t>
      </w:r>
      <w:r>
        <w:rPr>
          <w:rStyle w:val="6"/>
          <w:rFonts w:hint="eastAsia" w:ascii="方正黑体_GBK" w:hAnsi="方正黑体_GBK" w:eastAsia="方正黑体_GBK" w:cs="方正黑体_GBK"/>
          <w:b w:val="0"/>
          <w:bCs/>
          <w:sz w:val="32"/>
          <w:szCs w:val="32"/>
        </w:rPr>
        <w:t>年</w:t>
      </w:r>
      <w:r>
        <w:rPr>
          <w:rStyle w:val="6"/>
          <w:rFonts w:hint="eastAsia" w:ascii="方正黑体_GBK" w:hAnsi="方正黑体_GBK" w:eastAsia="方正黑体_GBK" w:cs="方正黑体_GBK"/>
          <w:sz w:val="32"/>
          <w:szCs w:val="32"/>
          <w:lang w:val="en-US" w:eastAsia="zh-CN"/>
        </w:rPr>
        <w:t>勐海县</w:t>
      </w:r>
      <w:r>
        <w:rPr>
          <w:rStyle w:val="6"/>
          <w:rFonts w:hint="eastAsia" w:ascii="方正黑体_GBK" w:hAnsi="方正黑体_GBK" w:eastAsia="方正黑体_GBK" w:cs="方正黑体_GBK"/>
          <w:sz w:val="32"/>
          <w:szCs w:val="32"/>
        </w:rPr>
        <w:t>一般公共预算支出变动说明</w:t>
      </w:r>
      <w:r>
        <w:rPr>
          <w:rStyle w:val="6"/>
          <w:rFonts w:hint="eastAsia" w:ascii="方正黑体_GBK" w:hAnsi="方正黑体_GBK" w:eastAsia="方正黑体_GBK" w:cs="方正黑体_GBK"/>
          <w:sz w:val="32"/>
          <w:szCs w:val="32"/>
        </w:rPr>
        <w:br w:type="textWrapping"/>
      </w:r>
      <w:r>
        <w:rPr>
          <w:rStyle w:val="6"/>
          <w:rFonts w:hint="default" w:ascii="Times New Roman" w:hAnsi="Times New Roman" w:eastAsia="方正楷体_GBK" w:cs="Times New Roman"/>
          <w:sz w:val="32"/>
          <w:szCs w:val="32"/>
        </w:rPr>
        <w:t>（一） 一般公共服务</w:t>
      </w:r>
      <w:r>
        <w:rPr>
          <w:rStyle w:val="6"/>
          <w:rFonts w:hint="eastAsia" w:ascii="Times New Roman" w:hAnsi="Times New Roman" w:eastAsia="方正楷体_GBK" w:cs="Times New Roman"/>
          <w:sz w:val="32"/>
          <w:szCs w:val="32"/>
          <w:lang w:val="en-US" w:eastAsia="zh-CN"/>
        </w:rPr>
        <w:t>支出</w:t>
      </w:r>
      <w:r>
        <w:rPr>
          <w:rStyle w:val="6"/>
          <w:rFonts w:hint="default" w:ascii="Times New Roman" w:hAnsi="Times New Roman" w:eastAsia="方正楷体_GBK" w:cs="Times New Roman"/>
          <w:sz w:val="32"/>
          <w:szCs w:val="32"/>
        </w:rPr>
        <w:t>类</w:t>
      </w:r>
      <w:r>
        <w:rPr>
          <w:rFonts w:hint="default" w:ascii="Times New Roman" w:hAnsi="Times New Roman" w:eastAsia="方正楷体_GBK"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rPr>
      </w:pPr>
      <w:r>
        <w:rPr>
          <w:rFonts w:hint="default" w:ascii="Times New Roman" w:hAnsi="Times New Roman" w:eastAsia="方正仿宋_GBK" w:cs="Times New Roman"/>
          <w:sz w:val="32"/>
          <w:szCs w:val="32"/>
          <w:lang w:val="en-US" w:eastAsia="zh-CN"/>
        </w:rPr>
        <w:t>1、 审计事务</w:t>
      </w:r>
      <w:r>
        <w:rPr>
          <w:rFonts w:hint="default" w:ascii="Times New Roman" w:hAnsi="Times New Roman" w:eastAsia="方正仿宋_GBK" w:cs="Times New Roman"/>
          <w:sz w:val="32"/>
          <w:szCs w:val="32"/>
        </w:rPr>
        <w:t>款比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rPr>
        <w:t>年决算数</w:t>
      </w:r>
      <w:r>
        <w:rPr>
          <w:rFonts w:hint="eastAsia" w:ascii="Times New Roman" w:hAnsi="Times New Roman" w:eastAsia="方正仿宋_GBK" w:cs="Times New Roman"/>
          <w:sz w:val="32"/>
          <w:szCs w:val="32"/>
          <w:lang w:eastAsia="zh-CN"/>
        </w:rPr>
        <w:t>下降</w:t>
      </w:r>
      <w:r>
        <w:rPr>
          <w:rFonts w:hint="eastAsia" w:ascii="Times New Roman" w:hAnsi="Times New Roman" w:eastAsia="方正仿宋_GBK" w:cs="Times New Roman"/>
          <w:sz w:val="32"/>
          <w:szCs w:val="32"/>
          <w:lang w:val="en-US" w:eastAsia="zh-CN"/>
        </w:rPr>
        <w:t>95.9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lang w:val="en-US" w:eastAsia="zh-CN"/>
        </w:rPr>
        <w:t>主</w:t>
      </w:r>
      <w:r>
        <w:rPr>
          <w:rFonts w:hint="default" w:ascii="Times New Roman" w:hAnsi="Times New Roman" w:eastAsia="方正仿宋_GBK" w:cs="Times New Roman"/>
          <w:sz w:val="32"/>
          <w:szCs w:val="32"/>
          <w:highlight w:val="none"/>
        </w:rPr>
        <w:t>要原因是：</w:t>
      </w: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val="en-US" w:eastAsia="zh-CN"/>
        </w:rPr>
        <w:t>年安排勐海县审计局</w:t>
      </w:r>
      <w:r>
        <w:rPr>
          <w:rFonts w:hint="default" w:ascii="Times New Roman" w:hAnsi="Times New Roman" w:eastAsia="方正仿宋_GBK" w:cs="Times New Roman"/>
          <w:sz w:val="32"/>
          <w:szCs w:val="32"/>
          <w:highlight w:val="none"/>
        </w:rPr>
        <w:t>工作经费</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lang w:val="en-US" w:eastAsia="zh-CN"/>
        </w:rPr>
        <w:t>2、海关事务</w:t>
      </w:r>
      <w:r>
        <w:rPr>
          <w:rFonts w:hint="default" w:ascii="Times New Roman" w:hAnsi="Times New Roman" w:eastAsia="方正仿宋_GBK" w:cs="Times New Roman"/>
          <w:sz w:val="32"/>
          <w:szCs w:val="32"/>
        </w:rPr>
        <w:t>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年决算数</w:t>
      </w:r>
      <w:r>
        <w:rPr>
          <w:rFonts w:hint="eastAsia" w:ascii="Times New Roman" w:hAnsi="Times New Roman" w:eastAsia="方正仿宋_GBK" w:cs="Times New Roman"/>
          <w:sz w:val="32"/>
          <w:szCs w:val="32"/>
          <w:lang w:eastAsia="zh-CN"/>
        </w:rPr>
        <w:t>下降</w:t>
      </w:r>
      <w:r>
        <w:rPr>
          <w:rFonts w:hint="eastAsia"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lang w:val="en-US" w:eastAsia="zh-CN"/>
        </w:rPr>
        <w:t>主</w:t>
      </w:r>
      <w:r>
        <w:rPr>
          <w:rFonts w:hint="default" w:ascii="Times New Roman" w:hAnsi="Times New Roman" w:eastAsia="方正仿宋_GBK" w:cs="Times New Roman"/>
          <w:sz w:val="32"/>
          <w:szCs w:val="32"/>
          <w:highlight w:val="none"/>
        </w:rPr>
        <w:t>要原因是：</w:t>
      </w:r>
      <w:r>
        <w:rPr>
          <w:rFonts w:hint="default" w:ascii="Times New Roman" w:hAnsi="Times New Roman" w:eastAsia="方正仿宋_GBK" w:cs="Times New Roman"/>
          <w:sz w:val="32"/>
          <w:szCs w:val="32"/>
          <w:highlight w:val="none"/>
          <w:lang w:val="en-US" w:eastAsia="zh-CN"/>
        </w:rPr>
        <w:t>202</w:t>
      </w:r>
      <w:r>
        <w:rPr>
          <w:rFonts w:hint="eastAsia"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val="en-US" w:eastAsia="zh-CN"/>
        </w:rPr>
        <w:t>年安排口岸协管员工资</w:t>
      </w:r>
      <w:r>
        <w:rPr>
          <w:rFonts w:hint="eastAsia" w:ascii="Times New Roman" w:hAnsi="Times New Roman" w:eastAsia="方正仿宋_GBK" w:cs="Times New Roman"/>
          <w:sz w:val="32"/>
          <w:szCs w:val="32"/>
          <w:highlight w:val="none"/>
          <w:lang w:val="en-US" w:eastAsia="zh-CN"/>
        </w:rPr>
        <w:t>，2021年无相关支出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其他共产党事务支出款比20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增长4</w:t>
      </w:r>
      <w:r>
        <w:rPr>
          <w:rFonts w:hint="default" w:ascii="Times New Roman" w:hAnsi="Times New Roman" w:eastAsia="方正仿宋_GBK" w:cs="Times New Roman"/>
          <w:sz w:val="32"/>
          <w:szCs w:val="32"/>
          <w:lang w:val="en-US" w:eastAsia="zh-CN"/>
        </w:rPr>
        <w:t>00.0%，</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本年度增加</w:t>
      </w:r>
      <w:r>
        <w:rPr>
          <w:rFonts w:hint="default" w:ascii="Times New Roman" w:hAnsi="Times New Roman" w:eastAsia="方正仿宋_GBK" w:cs="Times New Roman"/>
          <w:sz w:val="32"/>
          <w:szCs w:val="32"/>
          <w:highlight w:val="none"/>
          <w:lang w:val="en-US" w:eastAsia="zh-CN"/>
        </w:rPr>
        <w:t>政法综治维稳工作补助经费</w:t>
      </w:r>
      <w:r>
        <w:rPr>
          <w:rFonts w:hint="eastAsia" w:ascii="Times New Roman" w:hAnsi="Times New Roman" w:eastAsia="方正仿宋_GBK" w:cs="Times New Roman"/>
          <w:sz w:val="32"/>
          <w:szCs w:val="32"/>
          <w:highlight w:val="none"/>
          <w:lang w:val="en-US" w:eastAsia="zh-CN"/>
        </w:rPr>
        <w:t>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4、其他一般公共服务支出款比20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增长30920.0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本年安排勐海县城乡建设投资开发有限公司注册资本金专项经费，上年无同类支出</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（二）公共安全支出类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lang w:val="en-US" w:eastAsia="zh-CN"/>
        </w:rPr>
        <w:t>5、法院款比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增长182.7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本年度加大中央政法转移支付司法救助资金的投入。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（三）教育支出类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6、特殊教育款比20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年决算数下降</w:t>
      </w:r>
      <w:r>
        <w:rPr>
          <w:rFonts w:hint="eastAsia" w:ascii="Times New Roman" w:hAnsi="Times New Roman" w:eastAsia="方正仿宋_GBK" w:cs="Times New Roman"/>
          <w:sz w:val="32"/>
          <w:szCs w:val="32"/>
          <w:lang w:val="en-US" w:eastAsia="zh-CN"/>
        </w:rPr>
        <w:t>44.2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上年度同期基数较高，本年度特殊教育经费资金支出减少</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7、教育费附加安排的支出款比20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下降42.8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主要原因是：202</w:t>
      </w:r>
      <w:r>
        <w:rPr>
          <w:rFonts w:hint="eastAsia" w:ascii="Times New Roman" w:hAnsi="Times New Roman" w:eastAsia="方正仿宋_GBK" w:cs="Times New Roman"/>
          <w:sz w:val="32"/>
          <w:szCs w:val="32"/>
          <w:highlight w:val="none"/>
          <w:lang w:val="en-US" w:eastAsia="zh-CN"/>
        </w:rPr>
        <w:t>0</w:t>
      </w:r>
      <w:r>
        <w:rPr>
          <w:rFonts w:hint="default" w:ascii="Times New Roman" w:hAnsi="Times New Roman" w:eastAsia="方正仿宋_GBK" w:cs="Times New Roman"/>
          <w:sz w:val="32"/>
          <w:szCs w:val="32"/>
          <w:highlight w:val="none"/>
          <w:lang w:val="en-US" w:eastAsia="zh-CN"/>
        </w:rPr>
        <w:t>年安排教育发展专项资金，</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8、其他教育支出款比20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年决算数增长</w:t>
      </w:r>
      <w:r>
        <w:rPr>
          <w:rFonts w:hint="eastAsia" w:ascii="Times New Roman" w:hAnsi="Times New Roman" w:eastAsia="方正仿宋_GBK" w:cs="Times New Roman"/>
          <w:sz w:val="32"/>
          <w:szCs w:val="32"/>
          <w:lang w:val="en-US" w:eastAsia="zh-CN"/>
        </w:rPr>
        <w:t>83.6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上年度支出基数较小，本年持续加大</w:t>
      </w:r>
      <w:r>
        <w:rPr>
          <w:rFonts w:hint="default" w:ascii="Times New Roman" w:hAnsi="Times New Roman" w:eastAsia="方正仿宋_GBK" w:cs="Times New Roman"/>
          <w:sz w:val="32"/>
          <w:szCs w:val="32"/>
          <w:highlight w:val="none"/>
          <w:lang w:val="en-US" w:eastAsia="zh-CN"/>
        </w:rPr>
        <w:t>勐海县民族体育中心及广场建设项目贷款本金和利息，导致同比增幅较大。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（四）科学技术支出类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9、技术研究与开发</w:t>
      </w:r>
      <w:r>
        <w:rPr>
          <w:rFonts w:hint="eastAsia" w:ascii="Times New Roman" w:hAnsi="Times New Roman" w:eastAsia="方正仿宋_GBK" w:cs="Times New Roman"/>
          <w:sz w:val="32"/>
          <w:szCs w:val="32"/>
          <w:highlight w:val="none"/>
          <w:lang w:val="en-US" w:eastAsia="zh-CN"/>
        </w:rPr>
        <w:t>款比2020年决算数增长71.5%，主要原因是：本年度增支科技计划省对下转移支付及绩效目标资金。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科学技术普及款比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增长458.3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年安排科普专项省对下转移支付资金大于2020年。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（五）文化旅游体育与传媒支出类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、体育款比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年决算数下降</w:t>
      </w:r>
      <w:r>
        <w:rPr>
          <w:rFonts w:hint="eastAsia"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上年度安排公共体育普及工程、行政村农民体育健身工程以及社会足球场设施建设补助资金，2021</w:t>
      </w:r>
      <w:r>
        <w:rPr>
          <w:rFonts w:hint="default" w:ascii="Times New Roman" w:hAnsi="Times New Roman" w:eastAsia="方正仿宋_GBK" w:cs="Times New Roman"/>
          <w:sz w:val="32"/>
          <w:szCs w:val="32"/>
          <w:highlight w:val="none"/>
          <w:lang w:val="en-US" w:eastAsia="zh-CN"/>
        </w:rPr>
        <w:t>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、广播电视款比20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增长69.9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本年度除安排各乡镇文化广播电视服务中心基本支出外，加大了地方公共文化服务体系建设和广播电视事业发展专项资金的支持力度</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（六）社会保障和就业支出类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、退役安置款比20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下降53.8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上年度安排退役安置补助经费，本年减少</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、社会福利款比20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highlight w:val="none"/>
          <w:lang w:val="en-US" w:eastAsia="zh-CN"/>
        </w:rPr>
        <w:t>年决算数下降</w:t>
      </w:r>
      <w:r>
        <w:rPr>
          <w:rFonts w:hint="eastAsia" w:ascii="Times New Roman" w:hAnsi="Times New Roman" w:eastAsia="方正仿宋_GBK" w:cs="Times New Roman"/>
          <w:sz w:val="32"/>
          <w:szCs w:val="32"/>
          <w:highlight w:val="none"/>
          <w:lang w:val="en-US" w:eastAsia="zh-CN"/>
        </w:rPr>
        <w:t>38.9</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上年度安排社会服务兜底工程中央基建投资项目资金，2021年无相关支出</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val="en-US" w:eastAsia="zh-CN"/>
        </w:rPr>
        <w:t>、其他社会保障和就业支出款比20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年决算数增长</w:t>
      </w:r>
      <w:r>
        <w:rPr>
          <w:rFonts w:hint="eastAsia" w:ascii="Times New Roman" w:hAnsi="Times New Roman" w:eastAsia="方正仿宋_GBK" w:cs="Times New Roman"/>
          <w:sz w:val="32"/>
          <w:szCs w:val="32"/>
          <w:highlight w:val="none"/>
          <w:lang w:val="en-US" w:eastAsia="zh-CN"/>
        </w:rPr>
        <w:t>36.3</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本年度沿边居民补助资金支出大于2020年的沿边居民补助支出，本年还增加安排了基层就业和社会保障公共服务设施补短板建设项目专项资金</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（七）卫生健康支出类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、公共卫生款比20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年决算数增长</w:t>
      </w:r>
      <w:r>
        <w:rPr>
          <w:rFonts w:hint="eastAsia" w:ascii="Times New Roman" w:hAnsi="Times New Roman" w:eastAsia="方正仿宋_GBK" w:cs="Times New Roman"/>
          <w:sz w:val="32"/>
          <w:szCs w:val="32"/>
          <w:lang w:val="en-US" w:eastAsia="zh-CN"/>
        </w:rPr>
        <w:t>175.8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本年度持续加大</w:t>
      </w:r>
      <w:r>
        <w:rPr>
          <w:rFonts w:hint="default" w:ascii="Times New Roman" w:hAnsi="Times New Roman" w:eastAsia="方正仿宋_GBK" w:cs="Times New Roman"/>
          <w:sz w:val="32"/>
          <w:szCs w:val="32"/>
          <w:highlight w:val="none"/>
          <w:lang w:val="en-US" w:eastAsia="zh-CN"/>
        </w:rPr>
        <w:t>新冠肺炎疫情防控等重大疫情防控资金</w:t>
      </w:r>
      <w:r>
        <w:rPr>
          <w:rFonts w:hint="eastAsia" w:ascii="Times New Roman" w:hAnsi="Times New Roman" w:eastAsia="方正仿宋_GBK" w:cs="Times New Roman"/>
          <w:sz w:val="32"/>
          <w:szCs w:val="32"/>
          <w:highlight w:val="none"/>
          <w:lang w:val="en-US" w:eastAsia="zh-CN"/>
        </w:rPr>
        <w:t>的投入力度</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lang w:val="en-US" w:eastAsia="zh-CN"/>
        </w:rPr>
        <w:t>计划生育事务款比20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年决算数增长</w:t>
      </w:r>
      <w:r>
        <w:rPr>
          <w:rFonts w:hint="eastAsia" w:ascii="Times New Roman" w:hAnsi="Times New Roman" w:eastAsia="方正仿宋_GBK" w:cs="Times New Roman"/>
          <w:sz w:val="32"/>
          <w:szCs w:val="32"/>
          <w:highlight w:val="none"/>
          <w:lang w:val="en-US" w:eastAsia="zh-CN"/>
        </w:rPr>
        <w:t>137.8</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lang w:val="en-US" w:eastAsia="zh-CN"/>
        </w:rPr>
        <w:t>年</w:t>
      </w:r>
      <w:r>
        <w:rPr>
          <w:rFonts w:hint="eastAsia" w:ascii="Times New Roman" w:hAnsi="Times New Roman" w:eastAsia="方正仿宋_GBK" w:cs="Times New Roman"/>
          <w:sz w:val="32"/>
          <w:szCs w:val="32"/>
          <w:highlight w:val="none"/>
          <w:lang w:val="en-US" w:eastAsia="zh-CN"/>
        </w:rPr>
        <w:t>增加</w:t>
      </w:r>
      <w:r>
        <w:rPr>
          <w:rFonts w:hint="default" w:ascii="Times New Roman" w:hAnsi="Times New Roman" w:eastAsia="方正仿宋_GBK" w:cs="Times New Roman"/>
          <w:sz w:val="32"/>
          <w:szCs w:val="32"/>
          <w:highlight w:val="none"/>
          <w:lang w:val="en-US" w:eastAsia="zh-CN"/>
        </w:rPr>
        <w:t>安排计划生育</w:t>
      </w:r>
      <w:r>
        <w:rPr>
          <w:rFonts w:hint="eastAsia" w:ascii="Times New Roman" w:hAnsi="Times New Roman" w:eastAsia="方正仿宋_GBK" w:cs="Times New Roman"/>
          <w:sz w:val="32"/>
          <w:szCs w:val="32"/>
          <w:highlight w:val="none"/>
          <w:lang w:val="en-US" w:eastAsia="zh-CN"/>
        </w:rPr>
        <w:t>补助和卫生健康事业发展省对下专项转移支付资金</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18、老龄卫生健康事务</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年决算数增长</w:t>
      </w:r>
      <w:r>
        <w:rPr>
          <w:rFonts w:hint="eastAsia" w:ascii="Times New Roman" w:hAnsi="Times New Roman" w:eastAsia="方正仿宋_GBK" w:cs="Times New Roman"/>
          <w:sz w:val="32"/>
          <w:szCs w:val="32"/>
          <w:highlight w:val="none"/>
          <w:lang w:val="en-US" w:eastAsia="zh-CN"/>
        </w:rPr>
        <w:t>40.0</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本年增加安排老龄事务专项经费投入。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highlight w:val="none"/>
          <w:lang w:val="en-US" w:eastAsia="zh-CN"/>
        </w:rPr>
        <w:t>19、其他卫生健康支出</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下降242.1</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w:t>
      </w:r>
      <w:r>
        <w:rPr>
          <w:rFonts w:hint="default" w:ascii="Times New Roman" w:hAnsi="Times New Roman" w:eastAsia="方正仿宋_GBK" w:cs="Times New Roman"/>
          <w:sz w:val="32"/>
          <w:szCs w:val="32"/>
          <w:highlight w:val="none"/>
          <w:lang w:val="en-US" w:eastAsia="zh-CN"/>
        </w:rPr>
        <w:t>年</w:t>
      </w:r>
      <w:r>
        <w:rPr>
          <w:rFonts w:hint="default" w:ascii="Times New Roman" w:hAnsi="Times New Roman" w:eastAsia="方正仿宋_GBK" w:cs="Times New Roman"/>
          <w:sz w:val="32"/>
          <w:szCs w:val="32"/>
          <w:lang w:val="en-US" w:eastAsia="zh-CN"/>
        </w:rPr>
        <w:t>底盘活存量资金统筹安排</w:t>
      </w:r>
      <w:r>
        <w:rPr>
          <w:rFonts w:hint="eastAsia" w:ascii="Times New Roman" w:hAnsi="Times New Roman" w:eastAsia="方正仿宋_GBK" w:cs="Times New Roman"/>
          <w:sz w:val="32"/>
          <w:szCs w:val="32"/>
          <w:highlight w:val="none"/>
          <w:lang w:val="en-US" w:eastAsia="zh-CN"/>
        </w:rPr>
        <w:t>其他卫生健康支出</w:t>
      </w:r>
      <w:r>
        <w:rPr>
          <w:rFonts w:hint="default" w:ascii="Times New Roman" w:hAnsi="Times New Roman" w:eastAsia="方正仿宋_GBK" w:cs="Times New Roman"/>
          <w:sz w:val="32"/>
          <w:szCs w:val="32"/>
          <w:lang w:val="en-US" w:eastAsia="zh-CN"/>
        </w:rPr>
        <w:t>账务冲销</w:t>
      </w:r>
      <w:r>
        <w:rPr>
          <w:rFonts w:hint="eastAsia" w:ascii="Times New Roman" w:hAnsi="Times New Roman" w:eastAsia="方正仿宋_GBK" w:cs="Times New Roman"/>
          <w:sz w:val="32"/>
          <w:szCs w:val="32"/>
          <w:lang w:val="en-US" w:eastAsia="zh-CN"/>
        </w:rPr>
        <w:t>300万元</w:t>
      </w:r>
      <w:r>
        <w:rPr>
          <w:rFonts w:hint="default" w:ascii="Times New Roman" w:hAnsi="Times New Roman" w:eastAsia="方正仿宋_GBK" w:cs="Times New Roman"/>
          <w:sz w:val="32"/>
          <w:szCs w:val="32"/>
          <w:lang w:val="en-US" w:eastAsia="zh-CN"/>
        </w:rPr>
        <w:t>，造成</w:t>
      </w:r>
      <w:r>
        <w:rPr>
          <w:rFonts w:hint="eastAsia" w:ascii="Times New Roman" w:hAnsi="Times New Roman" w:eastAsia="方正仿宋_GBK" w:cs="Times New Roman"/>
          <w:sz w:val="32"/>
          <w:szCs w:val="32"/>
          <w:lang w:val="en-US" w:eastAsia="zh-CN"/>
        </w:rPr>
        <w:t>本</w:t>
      </w:r>
      <w:r>
        <w:rPr>
          <w:rFonts w:hint="default" w:ascii="Times New Roman" w:hAnsi="Times New Roman" w:eastAsia="方正仿宋_GBK" w:cs="Times New Roman"/>
          <w:sz w:val="32"/>
          <w:szCs w:val="32"/>
          <w:lang w:val="en-US" w:eastAsia="zh-CN"/>
        </w:rPr>
        <w:t>年决算数为负数，同比降幅较大。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（八）节能环保支出类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20、自然生态保护</w:t>
      </w:r>
      <w:r>
        <w:rPr>
          <w:rFonts w:hint="default" w:ascii="Times New Roman" w:hAnsi="Times New Roman" w:eastAsia="方正仿宋_GBK" w:cs="Times New Roman"/>
          <w:sz w:val="32"/>
          <w:szCs w:val="32"/>
          <w:lang w:val="en-US" w:eastAsia="zh-CN"/>
        </w:rPr>
        <w:t>款比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增长664.3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本年积极支持发展林业草原生态保护恢复亚洲象保护项目。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21、天然林保护</w:t>
      </w:r>
      <w:r>
        <w:rPr>
          <w:rFonts w:hint="default" w:ascii="Times New Roman" w:hAnsi="Times New Roman" w:eastAsia="方正仿宋_GBK" w:cs="Times New Roman"/>
          <w:sz w:val="32"/>
          <w:szCs w:val="32"/>
          <w:lang w:val="en-US" w:eastAsia="zh-CN"/>
        </w:rPr>
        <w:t>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w:t>
      </w:r>
      <w:r>
        <w:rPr>
          <w:rFonts w:hint="eastAsia" w:ascii="Times New Roman" w:hAnsi="Times New Roman" w:eastAsia="方正仿宋_GBK" w:cs="Times New Roman"/>
          <w:sz w:val="32"/>
          <w:szCs w:val="32"/>
          <w:highlight w:val="none"/>
          <w:lang w:val="en-US" w:eastAsia="zh-CN"/>
        </w:rPr>
        <w:t>83.7</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本年度减少安排林业改革发展森林资源管护资金等相关资金。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22、其他节能环保支出</w:t>
      </w:r>
      <w:r>
        <w:rPr>
          <w:rFonts w:hint="default" w:ascii="Times New Roman" w:hAnsi="Times New Roman" w:eastAsia="方正仿宋_GBK" w:cs="Times New Roman"/>
          <w:sz w:val="32"/>
          <w:szCs w:val="32"/>
          <w:lang w:val="en-US" w:eastAsia="zh-CN"/>
        </w:rPr>
        <w:t>款比20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下降100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上年度安排节能环保项目资金，本年无此项支出。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（九）城乡社区支出类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城乡社区公共设施款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下降60.2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上年度安排清欠民营企业中小企业剩余账款资金，本年无相关支出。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24、城乡社区环境卫生</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增长44.1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本年积极支持环卫一体化市场化运作经费项目等相关支出。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lang w:val="en-US" w:eastAsia="zh-CN"/>
        </w:rPr>
        <w:t>（十）农林水支出类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方正楷体_GBK" w:hAnsi="方正楷体_GBK" w:eastAsia="方正楷体_GBK" w:cs="方正楷体_GBK"/>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25、</w:t>
      </w:r>
      <w:r>
        <w:rPr>
          <w:rFonts w:hint="eastAsia" w:ascii="方正楷体_GBK" w:hAnsi="方正楷体_GBK" w:eastAsia="方正楷体_GBK" w:cs="方正楷体_GBK"/>
          <w:sz w:val="32"/>
          <w:szCs w:val="32"/>
          <w:highlight w:val="none"/>
          <w:lang w:val="en-US" w:eastAsia="zh-CN"/>
        </w:rPr>
        <w:t>水利款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增长67.4</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本年增加水利方面等相关项目资金支出。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26、扶贫</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下降54.5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本年脱贫攻坚等相关项目资金支出较上年减少。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27、农村综合改革</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增长70.8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本年增加农村综合改革转移支付以及“四位一体”建设项目资金的投入。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（十一）交通运输支出类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28、成品油价格改革对交通运输的补贴</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增长5380.0</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本年增加农村客运和出租车行业油价财政补贴等支出，2020年相关支出较小。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资源勘探工业信息等支出类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sz w:val="32"/>
          <w:szCs w:val="32"/>
          <w:lang w:val="en-US" w:eastAsia="zh-CN"/>
        </w:rPr>
        <w:t>29</w:t>
      </w:r>
      <w:r>
        <w:rPr>
          <w:rFonts w:hint="eastAsia"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工业和信息产业监管款比2020年</w:t>
      </w:r>
      <w:r>
        <w:rPr>
          <w:rFonts w:hint="default" w:ascii="Times New Roman" w:hAnsi="Times New Roman" w:eastAsia="方正仿宋_GBK" w:cs="Times New Roman"/>
          <w:sz w:val="32"/>
          <w:szCs w:val="32"/>
          <w:lang w:val="en-US" w:eastAsia="zh-CN"/>
        </w:rPr>
        <w:t>决算数</w:t>
      </w:r>
      <w:r>
        <w:rPr>
          <w:rFonts w:hint="eastAsia" w:ascii="Times New Roman" w:hAnsi="Times New Roman" w:eastAsia="方正仿宋_GBK" w:cs="Times New Roman"/>
          <w:sz w:val="32"/>
          <w:szCs w:val="32"/>
          <w:lang w:val="en-US" w:eastAsia="zh-CN"/>
        </w:rPr>
        <w:t>下降33.7%，主要原因是：上年度工业和信息化发展专项项目资金支出基数较高，本年度同类支出减少。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（十三）商业服务业等支出类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30、其他商业服务业等支出款</w:t>
      </w:r>
      <w:r>
        <w:rPr>
          <w:rFonts w:hint="default" w:ascii="Times New Roman" w:hAnsi="Times New Roman" w:eastAsia="方正仿宋_GBK" w:cs="Times New Roman"/>
          <w:sz w:val="32"/>
          <w:szCs w:val="32"/>
          <w:highlight w:val="none"/>
          <w:lang w:val="en-US" w:eastAsia="zh-CN"/>
        </w:rPr>
        <w:t>比</w:t>
      </w:r>
      <w:r>
        <w:rPr>
          <w:rFonts w:hint="eastAsia" w:ascii="Times New Roman" w:hAnsi="Times New Roman" w:eastAsia="方正仿宋_GBK" w:cs="Times New Roman"/>
          <w:sz w:val="32"/>
          <w:szCs w:val="32"/>
          <w:highlight w:val="none"/>
          <w:lang w:val="en-US" w:eastAsia="zh-CN"/>
        </w:rPr>
        <w:t>2020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增长461.8</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本年度中央服务业发展资金（电子商务进农村示范县）资金支出增加。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（十四）自然资源海洋气象等支出类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31、自然资源事务</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增长172.9</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本年增加安排跨州市补充耕地指标统筹调剂对下专项资金等项目资金的支出。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（十五）住房保障支出类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32、保障性安居工程支出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增长983.9</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本年度增加农村危房改造补助资金等项目资金支出，2020年相关支出较小。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（十六）灾害防治及应急管理支出类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33、自然灾害防治</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下降89.6</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上年度偿还清欠中小企业欠款以及安排支付地质灾害防治切块补助资金，本年无相关支出。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34、自然灾害救灾及恢复重建支出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增长183.8</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本年度增加自然灾害救灾等项目资金相关支出。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（十七）其他支出类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highlight w:val="yellow"/>
          <w:lang w:val="en-US" w:eastAsia="zh-CN"/>
        </w:rPr>
      </w:pPr>
      <w:r>
        <w:rPr>
          <w:rFonts w:hint="eastAsia" w:ascii="Times New Roman" w:hAnsi="Times New Roman" w:eastAsia="方正仿宋_GBK" w:cs="Times New Roman"/>
          <w:sz w:val="32"/>
          <w:szCs w:val="32"/>
          <w:highlight w:val="none"/>
          <w:lang w:val="en-US" w:eastAsia="zh-CN"/>
        </w:rPr>
        <w:t>35、</w:t>
      </w:r>
      <w:bookmarkStart w:id="0" w:name="_GoBack"/>
      <w:bookmarkEnd w:id="0"/>
      <w:r>
        <w:rPr>
          <w:rFonts w:hint="eastAsia" w:ascii="Times New Roman" w:hAnsi="Times New Roman" w:eastAsia="方正仿宋_GBK" w:cs="Times New Roman"/>
          <w:sz w:val="32"/>
          <w:szCs w:val="32"/>
          <w:highlight w:val="none"/>
          <w:lang w:val="en-US" w:eastAsia="zh-CN"/>
        </w:rPr>
        <w:t>其他支出款</w:t>
      </w:r>
      <w:r>
        <w:rPr>
          <w:rFonts w:hint="default" w:ascii="Times New Roman" w:hAnsi="Times New Roman" w:eastAsia="方正仿宋_GBK" w:cs="Times New Roman"/>
          <w:sz w:val="32"/>
          <w:szCs w:val="32"/>
          <w:highlight w:val="none"/>
          <w:lang w:val="en-US" w:eastAsia="zh-CN"/>
        </w:rPr>
        <w:t>比</w:t>
      </w:r>
      <w:r>
        <w:rPr>
          <w:rFonts w:hint="default" w:ascii="Times New Roman" w:hAnsi="Times New Roman" w:eastAsia="方正仿宋_GBK" w:cs="Times New Roman"/>
          <w:sz w:val="32"/>
          <w:szCs w:val="32"/>
          <w:lang w:val="en-US" w:eastAsia="zh-CN"/>
        </w:rPr>
        <w:t>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增长2601.9</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highlight w:val="none"/>
          <w:lang w:val="en-US" w:eastAsia="zh-CN"/>
        </w:rPr>
        <w:t>主要原因是：本年度安排扶持人口较少民族发展村内基础设施建设示范项目资金，上年度相关支出较少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Style w:val="6"/>
          <w:rFonts w:hint="eastAsia" w:ascii="方正楷体_GBK" w:hAnsi="方正楷体_GBK" w:eastAsia="方正楷体_GBK" w:cs="方正楷体_GBK"/>
          <w:sz w:val="32"/>
          <w:szCs w:val="32"/>
          <w:lang w:val="en-US" w:eastAsia="zh-CN"/>
        </w:rPr>
      </w:pPr>
      <w:r>
        <w:rPr>
          <w:rStyle w:val="6"/>
          <w:rFonts w:hint="eastAsia" w:ascii="方正黑体_GBK" w:hAnsi="方正黑体_GBK" w:eastAsia="方正黑体_GBK" w:cs="方正黑体_GBK"/>
          <w:sz w:val="32"/>
          <w:szCs w:val="32"/>
          <w:lang w:val="en-US" w:eastAsia="zh-CN"/>
        </w:rPr>
        <w:t>二</w:t>
      </w:r>
      <w:r>
        <w:rPr>
          <w:rStyle w:val="6"/>
          <w:rFonts w:hint="eastAsia" w:ascii="方正黑体_GBK" w:hAnsi="方正黑体_GBK" w:eastAsia="方正黑体_GBK" w:cs="方正黑体_GBK"/>
          <w:sz w:val="32"/>
          <w:szCs w:val="32"/>
        </w:rPr>
        <w:t>、</w:t>
      </w:r>
      <w:r>
        <w:rPr>
          <w:rStyle w:val="7"/>
          <w:rFonts w:hint="eastAsia" w:ascii="方正黑体_GBK" w:hAnsi="方正黑体_GBK" w:eastAsia="方正黑体_GBK" w:cs="方正黑体_GBK"/>
          <w:sz w:val="32"/>
          <w:szCs w:val="32"/>
        </w:rPr>
        <w:t>202</w:t>
      </w:r>
      <w:r>
        <w:rPr>
          <w:rStyle w:val="7"/>
          <w:rFonts w:hint="eastAsia" w:ascii="方正黑体_GBK" w:hAnsi="方正黑体_GBK" w:eastAsia="方正黑体_GBK" w:cs="方正黑体_GBK"/>
          <w:sz w:val="32"/>
          <w:szCs w:val="32"/>
          <w:lang w:val="en-US" w:eastAsia="zh-CN"/>
        </w:rPr>
        <w:t>1</w:t>
      </w:r>
      <w:r>
        <w:rPr>
          <w:rStyle w:val="6"/>
          <w:rFonts w:hint="eastAsia" w:ascii="方正黑体_GBK" w:hAnsi="方正黑体_GBK" w:eastAsia="方正黑体_GBK" w:cs="方正黑体_GBK"/>
          <w:sz w:val="32"/>
          <w:szCs w:val="32"/>
        </w:rPr>
        <w:t>年</w:t>
      </w:r>
      <w:r>
        <w:rPr>
          <w:rStyle w:val="6"/>
          <w:rFonts w:hint="eastAsia" w:ascii="方正黑体_GBK" w:hAnsi="方正黑体_GBK" w:eastAsia="方正黑体_GBK" w:cs="方正黑体_GBK"/>
          <w:sz w:val="32"/>
          <w:szCs w:val="32"/>
          <w:lang w:val="en-US" w:eastAsia="zh-CN"/>
        </w:rPr>
        <w:t>勐海县政府性基金</w:t>
      </w:r>
      <w:r>
        <w:rPr>
          <w:rStyle w:val="6"/>
          <w:rFonts w:hint="eastAsia" w:ascii="方正黑体_GBK" w:hAnsi="方正黑体_GBK" w:eastAsia="方正黑体_GBK" w:cs="方正黑体_GBK"/>
          <w:sz w:val="32"/>
          <w:szCs w:val="32"/>
        </w:rPr>
        <w:t>预算支出变动说明</w:t>
      </w:r>
      <w:r>
        <w:rPr>
          <w:rStyle w:val="6"/>
          <w:rFonts w:hint="eastAsia" w:ascii="方正黑体_GBK" w:hAnsi="方正黑体_GBK" w:eastAsia="方正黑体_GBK" w:cs="方正黑体_GBK"/>
          <w:sz w:val="32"/>
          <w:szCs w:val="32"/>
        </w:rPr>
        <w:br w:type="textWrapping"/>
      </w:r>
      <w:r>
        <w:rPr>
          <w:rStyle w:val="6"/>
          <w:rFonts w:hint="eastAsia" w:ascii="方正楷体_GBK" w:hAnsi="方正楷体_GBK" w:eastAsia="方正楷体_GBK" w:cs="方正楷体_GBK"/>
          <w:sz w:val="32"/>
          <w:szCs w:val="32"/>
          <w:lang w:eastAsia="zh-CN"/>
        </w:rPr>
        <w:t>（</w:t>
      </w:r>
      <w:r>
        <w:rPr>
          <w:rStyle w:val="6"/>
          <w:rFonts w:hint="eastAsia" w:ascii="方正楷体_GBK" w:hAnsi="方正楷体_GBK" w:eastAsia="方正楷体_GBK" w:cs="方正楷体_GBK"/>
          <w:sz w:val="32"/>
          <w:szCs w:val="32"/>
          <w:lang w:val="en-US" w:eastAsia="zh-CN"/>
        </w:rPr>
        <w:t>一</w:t>
      </w:r>
      <w:r>
        <w:rPr>
          <w:rStyle w:val="6"/>
          <w:rFonts w:hint="eastAsia" w:ascii="方正楷体_GBK" w:hAnsi="方正楷体_GBK" w:eastAsia="方正楷体_GBK" w:cs="方正楷体_GBK"/>
          <w:sz w:val="32"/>
          <w:szCs w:val="32"/>
          <w:lang w:eastAsia="zh-CN"/>
        </w:rPr>
        <w:t>）</w:t>
      </w:r>
      <w:r>
        <w:rPr>
          <w:rStyle w:val="6"/>
          <w:rFonts w:hint="eastAsia" w:ascii="方正楷体_GBK" w:hAnsi="方正楷体_GBK" w:eastAsia="方正楷体_GBK" w:cs="方正楷体_GBK"/>
          <w:sz w:val="32"/>
          <w:szCs w:val="32"/>
        </w:rPr>
        <w:t>社会保障和就业支出</w:t>
      </w:r>
      <w:r>
        <w:rPr>
          <w:rStyle w:val="6"/>
          <w:rFonts w:hint="eastAsia" w:ascii="方正楷体_GBK" w:hAnsi="方正楷体_GBK" w:eastAsia="方正楷体_GBK" w:cs="方正楷体_GBK"/>
          <w:sz w:val="32"/>
          <w:szCs w:val="32"/>
          <w:lang w:val="en-US" w:eastAsia="zh-CN"/>
        </w:rPr>
        <w:t>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Style w:val="6"/>
          <w:rFonts w:hint="default" w:ascii="Times New Roman" w:hAnsi="Times New Roman" w:eastAsia="方正仿宋_GBK" w:cs="Times New Roman"/>
          <w:sz w:val="32"/>
          <w:szCs w:val="32"/>
          <w:lang w:val="en-US" w:eastAsia="zh-CN"/>
        </w:rPr>
        <w:t>1、大中型水</w:t>
      </w:r>
      <w:r>
        <w:rPr>
          <w:rStyle w:val="6"/>
          <w:rFonts w:hint="default" w:ascii="Times New Roman" w:hAnsi="Times New Roman" w:eastAsia="方正仿宋_GBK" w:cs="Times New Roman"/>
          <w:sz w:val="32"/>
          <w:szCs w:val="32"/>
          <w:highlight w:val="none"/>
          <w:lang w:val="en-US" w:eastAsia="zh-CN"/>
        </w:rPr>
        <w:t>库移民后期扶持基金支出</w:t>
      </w:r>
      <w:r>
        <w:rPr>
          <w:rFonts w:hint="default" w:ascii="Times New Roman" w:hAnsi="Times New Roman" w:eastAsia="方正仿宋_GBK" w:cs="Times New Roman"/>
          <w:sz w:val="32"/>
          <w:szCs w:val="32"/>
          <w:highlight w:val="none"/>
          <w:lang w:val="en-US" w:eastAsia="zh-CN"/>
        </w:rPr>
        <w:t>款比20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增长68.8</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主要原因是：</w:t>
      </w:r>
      <w:r>
        <w:rPr>
          <w:rFonts w:hint="eastAsia" w:ascii="Times New Roman" w:hAnsi="Times New Roman" w:eastAsia="方正仿宋_GBK" w:cs="Times New Roman"/>
          <w:color w:val="auto"/>
          <w:sz w:val="32"/>
          <w:szCs w:val="32"/>
          <w:highlight w:val="none"/>
          <w:lang w:val="en-US" w:eastAsia="zh-CN"/>
        </w:rPr>
        <w:t>2021</w:t>
      </w:r>
      <w:r>
        <w:rPr>
          <w:rFonts w:hint="default" w:ascii="Times New Roman" w:hAnsi="Times New Roman" w:eastAsia="方正仿宋_GBK" w:cs="Times New Roman"/>
          <w:color w:val="auto"/>
          <w:sz w:val="32"/>
          <w:szCs w:val="32"/>
          <w:highlight w:val="none"/>
          <w:lang w:val="en-US" w:eastAsia="zh-CN"/>
        </w:rPr>
        <w:t>年安排水库移民扶持基金和大中型水库移民后期扶持资金大于2020年。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（二）城乡社区支出类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lang w:val="en-US" w:eastAsia="zh-CN"/>
        </w:rPr>
        <w:t>2、国有土地使用权出让收入安排的支出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下降52.5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2020年安排征地补偿款费用以及城乡建设用地增减挂钩项目拆旧区土地复垦建设资金，2021年同类支出较小。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3、污水处理费安排的支出款</w:t>
      </w:r>
      <w:r>
        <w:rPr>
          <w:rFonts w:hint="default" w:ascii="Times New Roman" w:hAnsi="Times New Roman" w:eastAsia="方正仿宋_GBK" w:cs="Times New Roman"/>
          <w:sz w:val="32"/>
          <w:szCs w:val="32"/>
          <w:highlight w:val="none"/>
          <w:lang w:val="en-US" w:eastAsia="zh-CN"/>
        </w:rPr>
        <w:t>比</w:t>
      </w:r>
      <w:r>
        <w:rPr>
          <w:rFonts w:hint="eastAsia" w:ascii="Times New Roman" w:hAnsi="Times New Roman" w:eastAsia="方正仿宋_GBK" w:cs="Times New Roman"/>
          <w:sz w:val="32"/>
          <w:szCs w:val="32"/>
          <w:highlight w:val="none"/>
          <w:lang w:val="en-US" w:eastAsia="zh-CN"/>
        </w:rPr>
        <w:t>2020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增长47.7</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2021年增加污水处理厂污水处理服务费专项资金的支出。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（三）交通运输支出类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yellow"/>
          <w:lang w:val="en-US" w:eastAsia="zh-CN"/>
        </w:rPr>
      </w:pPr>
      <w:r>
        <w:rPr>
          <w:rFonts w:hint="eastAsia" w:ascii="Times New Roman" w:hAnsi="Times New Roman" w:eastAsia="方正仿宋_GBK" w:cs="Times New Roman"/>
          <w:sz w:val="32"/>
          <w:szCs w:val="32"/>
          <w:highlight w:val="none"/>
          <w:lang w:val="en-US" w:eastAsia="zh-CN"/>
        </w:rPr>
        <w:t>4、政府收费公路专项债券收入安排的支出款比2020年决算数增长243.9%，主要原因是：2021年安排孟连至勐海高速公路（勐海段）项目专项资金54000万元，2020年安排的专项债券资金较少。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（四）其他支出类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5、彩票公益金安排的支出</w:t>
      </w:r>
      <w:r>
        <w:rPr>
          <w:rFonts w:hint="eastAsia" w:ascii="方正仿宋_GBK" w:hAnsi="方正仿宋_GBK" w:eastAsia="方正仿宋_GBK" w:cs="方正仿宋_GBK"/>
          <w:sz w:val="32"/>
          <w:szCs w:val="32"/>
          <w:lang w:val="en-US" w:eastAsia="zh-CN"/>
        </w:rPr>
        <w:t>款</w:t>
      </w:r>
      <w:r>
        <w:rPr>
          <w:rFonts w:hint="default" w:ascii="Times New Roman" w:hAnsi="Times New Roman" w:eastAsia="方正仿宋_GBK" w:cs="Times New Roman"/>
          <w:sz w:val="32"/>
          <w:szCs w:val="32"/>
          <w:lang w:val="en-US" w:eastAsia="zh-CN"/>
        </w:rPr>
        <w:t>比20</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年决算数</w:t>
      </w:r>
      <w:r>
        <w:rPr>
          <w:rFonts w:hint="eastAsia" w:ascii="Times New Roman" w:hAnsi="Times New Roman" w:eastAsia="方正仿宋_GBK" w:cs="Times New Roman"/>
          <w:sz w:val="32"/>
          <w:szCs w:val="32"/>
          <w:lang w:val="en-US" w:eastAsia="zh-CN"/>
        </w:rPr>
        <w:t>增长242.2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sz w:val="32"/>
          <w:szCs w:val="32"/>
          <w:highlight w:val="none"/>
          <w:lang w:val="en-US" w:eastAsia="zh-CN"/>
        </w:rPr>
        <w:t>2021年持续加大安排彩票专项公益金支出。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（五）债务付息支出类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6、债务发行费用支出</w:t>
      </w:r>
      <w:r>
        <w:rPr>
          <w:rFonts w:hint="eastAsia" w:ascii="方正仿宋_GBK" w:hAnsi="方正仿宋_GBK" w:eastAsia="方正仿宋_GBK" w:cs="方正仿宋_GBK"/>
          <w:sz w:val="32"/>
          <w:szCs w:val="32"/>
          <w:highlight w:val="none"/>
          <w:lang w:val="en-US" w:eastAsia="zh-CN"/>
        </w:rPr>
        <w:t>款</w:t>
      </w:r>
      <w:r>
        <w:rPr>
          <w:rFonts w:hint="default" w:ascii="Times New Roman" w:hAnsi="Times New Roman" w:eastAsia="方正仿宋_GBK" w:cs="Times New Roman"/>
          <w:sz w:val="32"/>
          <w:szCs w:val="32"/>
          <w:highlight w:val="none"/>
          <w:lang w:val="en-US" w:eastAsia="zh-CN"/>
        </w:rPr>
        <w:t>比20</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年决算数</w:t>
      </w:r>
      <w:r>
        <w:rPr>
          <w:rFonts w:hint="eastAsia" w:ascii="Times New Roman" w:hAnsi="Times New Roman" w:eastAsia="方正仿宋_GBK" w:cs="Times New Roman"/>
          <w:sz w:val="32"/>
          <w:szCs w:val="32"/>
          <w:highlight w:val="none"/>
          <w:lang w:val="en-US" w:eastAsia="zh-CN"/>
        </w:rPr>
        <w:t>增长81.4</w:t>
      </w:r>
      <w:r>
        <w:rPr>
          <w:rFonts w:hint="default" w:ascii="Times New Roman" w:hAnsi="Times New Roman" w:eastAsia="方正仿宋_GBK" w:cs="Times New Roman"/>
          <w:sz w:val="32"/>
          <w:szCs w:val="32"/>
          <w:highlight w:val="none"/>
          <w:lang w:val="en-US" w:eastAsia="zh-CN"/>
        </w:rPr>
        <w:t>%，主要原因是：</w:t>
      </w:r>
      <w:r>
        <w:rPr>
          <w:rFonts w:hint="eastAsia" w:ascii="Times New Roman" w:hAnsi="Times New Roman" w:eastAsia="方正仿宋_GBK" w:cs="Times New Roman"/>
          <w:b w:val="0"/>
          <w:i w:val="0"/>
          <w:color w:val="000000"/>
          <w:sz w:val="32"/>
          <w:szCs w:val="32"/>
          <w:highlight w:val="none"/>
          <w:lang w:val="en-US" w:eastAsia="zh-CN"/>
        </w:rPr>
        <w:t>2021</w:t>
      </w:r>
      <w:r>
        <w:rPr>
          <w:rFonts w:hint="default" w:ascii="Times New Roman" w:hAnsi="Times New Roman" w:eastAsia="方正仿宋_GBK" w:cs="Times New Roman"/>
          <w:b w:val="0"/>
          <w:i w:val="0"/>
          <w:color w:val="000000"/>
          <w:sz w:val="32"/>
          <w:szCs w:val="32"/>
          <w:highlight w:val="none"/>
        </w:rPr>
        <w:t>年债券转贷到期付息资金规模增大，导致地方政府专项债务付息支出增大。</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eastAsia" w:ascii="Times New Roman" w:hAnsi="Times New Roman" w:eastAsia="方正仿宋_GBK" w:cs="Times New Roman"/>
          <w:sz w:val="32"/>
          <w:szCs w:val="32"/>
          <w:highlight w:val="none"/>
          <w:lang w:val="en-US" w:eastAsia="zh-CN"/>
        </w:rPr>
      </w:pPr>
      <w:r>
        <w:rPr>
          <w:rFonts w:hint="eastAsia" w:ascii="方正黑体_GBK" w:hAnsi="方正黑体_GBK" w:eastAsia="方正黑体_GBK" w:cs="方正黑体_GBK"/>
          <w:sz w:val="32"/>
          <w:szCs w:val="32"/>
          <w:lang w:val="en-US" w:eastAsia="zh-CN"/>
        </w:rPr>
        <w:t>三、</w:t>
      </w:r>
      <w:r>
        <w:rPr>
          <w:rStyle w:val="7"/>
          <w:rFonts w:hint="eastAsia" w:ascii="方正黑体_GBK" w:hAnsi="方正黑体_GBK" w:eastAsia="方正黑体_GBK" w:cs="方正黑体_GBK"/>
          <w:sz w:val="32"/>
          <w:szCs w:val="32"/>
        </w:rPr>
        <w:t>202</w:t>
      </w:r>
      <w:r>
        <w:rPr>
          <w:rStyle w:val="7"/>
          <w:rFonts w:hint="eastAsia" w:ascii="方正黑体_GBK" w:hAnsi="方正黑体_GBK" w:eastAsia="方正黑体_GBK" w:cs="方正黑体_GBK"/>
          <w:sz w:val="32"/>
          <w:szCs w:val="32"/>
          <w:lang w:val="en-US" w:eastAsia="zh-CN"/>
        </w:rPr>
        <w:t>1</w:t>
      </w:r>
      <w:r>
        <w:rPr>
          <w:rStyle w:val="6"/>
          <w:rFonts w:hint="eastAsia" w:ascii="方正黑体_GBK" w:hAnsi="方正黑体_GBK" w:eastAsia="方正黑体_GBK" w:cs="方正黑体_GBK"/>
          <w:sz w:val="32"/>
          <w:szCs w:val="32"/>
        </w:rPr>
        <w:t>年</w:t>
      </w:r>
      <w:r>
        <w:rPr>
          <w:rStyle w:val="6"/>
          <w:rFonts w:hint="eastAsia" w:ascii="方正黑体_GBK" w:hAnsi="方正黑体_GBK" w:eastAsia="方正黑体_GBK" w:cs="方正黑体_GBK"/>
          <w:sz w:val="32"/>
          <w:szCs w:val="32"/>
          <w:lang w:val="en-US" w:eastAsia="zh-CN"/>
        </w:rPr>
        <w:t>勐海县国有资本经营</w:t>
      </w:r>
      <w:r>
        <w:rPr>
          <w:rStyle w:val="6"/>
          <w:rFonts w:hint="eastAsia" w:ascii="方正黑体_GBK" w:hAnsi="方正黑体_GBK" w:eastAsia="方正黑体_GBK" w:cs="方正黑体_GBK"/>
          <w:sz w:val="32"/>
          <w:szCs w:val="32"/>
        </w:rPr>
        <w:t>预算</w:t>
      </w:r>
      <w:r>
        <w:rPr>
          <w:rStyle w:val="6"/>
          <w:rFonts w:hint="eastAsia" w:ascii="方正黑体_GBK" w:hAnsi="方正黑体_GBK" w:eastAsia="方正黑体_GBK" w:cs="方正黑体_GBK"/>
          <w:sz w:val="32"/>
          <w:szCs w:val="32"/>
          <w:lang w:val="en-US" w:eastAsia="zh-CN"/>
        </w:rPr>
        <w:t>收入、</w:t>
      </w:r>
      <w:r>
        <w:rPr>
          <w:rStyle w:val="6"/>
          <w:rFonts w:hint="eastAsia" w:ascii="方正黑体_GBK" w:hAnsi="方正黑体_GBK" w:eastAsia="方正黑体_GBK" w:cs="方正黑体_GBK"/>
          <w:sz w:val="32"/>
          <w:szCs w:val="32"/>
        </w:rPr>
        <w:t>支出变动说明</w:t>
      </w:r>
      <w:r>
        <w:rPr>
          <w:rStyle w:val="6"/>
          <w:rFonts w:hint="eastAsia" w:ascii="方正黑体_GBK" w:hAnsi="方正黑体_GBK" w:eastAsia="方正黑体_GBK" w:cs="方正黑体_GBK"/>
          <w:sz w:val="32"/>
          <w:szCs w:val="32"/>
        </w:rPr>
        <w:br w:type="textWrapping"/>
      </w:r>
      <w:r>
        <w:rPr>
          <w:rStyle w:val="6"/>
          <w:rFonts w:hint="eastAsia" w:ascii="方正黑体_GBK" w:hAnsi="方正黑体_GBK" w:eastAsia="方正黑体_GBK" w:cs="方正黑体_GBK"/>
          <w:sz w:val="32"/>
          <w:szCs w:val="32"/>
          <w:lang w:val="en-US" w:eastAsia="zh-CN"/>
        </w:rPr>
        <w:t xml:space="preserve">   </w:t>
      </w:r>
      <w:r>
        <w:rPr>
          <w:rStyle w:val="6"/>
          <w:rFonts w:hint="default" w:ascii="Times New Roman" w:hAnsi="Times New Roman" w:eastAsia="方正仿宋_GBK" w:cs="Times New Roman"/>
          <w:sz w:val="32"/>
          <w:szCs w:val="32"/>
          <w:lang w:val="en-US" w:eastAsia="zh-CN"/>
        </w:rPr>
        <w:t xml:space="preserve"> 1、202</w:t>
      </w:r>
      <w:r>
        <w:rPr>
          <w:rStyle w:val="6"/>
          <w:rFonts w:hint="eastAsia" w:ascii="Times New Roman" w:hAnsi="Times New Roman" w:eastAsia="方正仿宋_GBK" w:cs="Times New Roman"/>
          <w:sz w:val="32"/>
          <w:szCs w:val="32"/>
          <w:lang w:val="en-US" w:eastAsia="zh-CN"/>
        </w:rPr>
        <w:t>1</w:t>
      </w:r>
      <w:r>
        <w:rPr>
          <w:rStyle w:val="6"/>
          <w:rFonts w:hint="default" w:ascii="Times New Roman" w:hAnsi="Times New Roman" w:eastAsia="方正仿宋_GBK" w:cs="Times New Roman"/>
          <w:sz w:val="32"/>
          <w:szCs w:val="32"/>
          <w:lang w:val="en-US" w:eastAsia="zh-CN"/>
        </w:rPr>
        <w:t>年勐海县国有资本经营预算收入决算数为</w:t>
      </w:r>
      <w:r>
        <w:rPr>
          <w:rStyle w:val="6"/>
          <w:rFonts w:hint="eastAsia" w:ascii="Times New Roman" w:hAnsi="Times New Roman" w:eastAsia="方正仿宋_GBK" w:cs="Times New Roman"/>
          <w:sz w:val="32"/>
          <w:szCs w:val="32"/>
          <w:lang w:val="en-US" w:eastAsia="zh-CN"/>
        </w:rPr>
        <w:t>58</w:t>
      </w:r>
      <w:r>
        <w:rPr>
          <w:rStyle w:val="6"/>
          <w:rFonts w:hint="default" w:ascii="Times New Roman" w:hAnsi="Times New Roman" w:eastAsia="方正仿宋_GBK" w:cs="Times New Roman"/>
          <w:sz w:val="32"/>
          <w:szCs w:val="32"/>
          <w:lang w:val="en-US" w:eastAsia="zh-CN"/>
        </w:rPr>
        <w:t>万元，比</w:t>
      </w:r>
      <w:r>
        <w:rPr>
          <w:rStyle w:val="6"/>
          <w:rFonts w:hint="eastAsia" w:ascii="Times New Roman" w:hAnsi="Times New Roman" w:eastAsia="方正仿宋_GBK" w:cs="Times New Roman"/>
          <w:sz w:val="32"/>
          <w:szCs w:val="32"/>
          <w:lang w:val="en-US" w:eastAsia="zh-CN"/>
        </w:rPr>
        <w:t>2020</w:t>
      </w:r>
      <w:r>
        <w:rPr>
          <w:rStyle w:val="6"/>
          <w:rFonts w:hint="default" w:ascii="Times New Roman" w:hAnsi="Times New Roman" w:eastAsia="方正仿宋_GBK" w:cs="Times New Roman"/>
          <w:sz w:val="32"/>
          <w:szCs w:val="32"/>
          <w:lang w:val="en-US" w:eastAsia="zh-CN"/>
        </w:rPr>
        <w:t>年增长</w:t>
      </w:r>
      <w:r>
        <w:rPr>
          <w:rStyle w:val="6"/>
          <w:rFonts w:hint="eastAsia" w:ascii="Times New Roman" w:hAnsi="Times New Roman" w:eastAsia="方正仿宋_GBK" w:cs="Times New Roman"/>
          <w:sz w:val="32"/>
          <w:szCs w:val="32"/>
          <w:lang w:val="en-US" w:eastAsia="zh-CN"/>
        </w:rPr>
        <w:t>38.1%，</w:t>
      </w:r>
      <w:r>
        <w:rPr>
          <w:rStyle w:val="6"/>
          <w:rFonts w:hint="eastAsia" w:ascii="Times New Roman" w:hAnsi="Times New Roman" w:eastAsia="方正仿宋_GBK" w:cs="Times New Roman"/>
          <w:sz w:val="32"/>
          <w:szCs w:val="32"/>
          <w:highlight w:val="none"/>
          <w:lang w:val="en-US" w:eastAsia="zh-CN"/>
        </w:rPr>
        <w:t>主要原因为：2021年加大对国资收益征缴力度，从而使本年国有资本经营预算收入较上年有所增长。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Style w:val="6"/>
          <w:rFonts w:hint="eastAsia" w:ascii="Times New Roman" w:hAnsi="Times New Roman" w:eastAsia="方正仿宋_GBK" w:cs="Times New Roman"/>
          <w:sz w:val="32"/>
          <w:szCs w:val="32"/>
          <w:lang w:val="en-US" w:eastAsia="zh-CN"/>
        </w:rPr>
        <w:t>2</w:t>
      </w:r>
      <w:r>
        <w:rPr>
          <w:rStyle w:val="6"/>
          <w:rFonts w:hint="default" w:ascii="Times New Roman" w:hAnsi="Times New Roman" w:eastAsia="方正仿宋_GBK" w:cs="Times New Roman"/>
          <w:sz w:val="32"/>
          <w:szCs w:val="32"/>
          <w:lang w:val="en-US" w:eastAsia="zh-CN"/>
        </w:rPr>
        <w:t>、202</w:t>
      </w:r>
      <w:r>
        <w:rPr>
          <w:rStyle w:val="6"/>
          <w:rFonts w:hint="eastAsia" w:ascii="Times New Roman" w:hAnsi="Times New Roman" w:eastAsia="方正仿宋_GBK" w:cs="Times New Roman"/>
          <w:sz w:val="32"/>
          <w:szCs w:val="32"/>
          <w:lang w:val="en-US" w:eastAsia="zh-CN"/>
        </w:rPr>
        <w:t>1</w:t>
      </w:r>
      <w:r>
        <w:rPr>
          <w:rStyle w:val="6"/>
          <w:rFonts w:hint="default" w:ascii="Times New Roman" w:hAnsi="Times New Roman" w:eastAsia="方正仿宋_GBK" w:cs="Times New Roman"/>
          <w:sz w:val="32"/>
          <w:szCs w:val="32"/>
          <w:lang w:val="en-US" w:eastAsia="zh-CN"/>
        </w:rPr>
        <w:t>年勐海县国有资本经营预算</w:t>
      </w:r>
      <w:r>
        <w:rPr>
          <w:rStyle w:val="6"/>
          <w:rFonts w:hint="eastAsia" w:ascii="Times New Roman" w:hAnsi="Times New Roman" w:eastAsia="方正仿宋_GBK" w:cs="Times New Roman"/>
          <w:sz w:val="32"/>
          <w:szCs w:val="32"/>
          <w:lang w:val="en-US" w:eastAsia="zh-CN"/>
        </w:rPr>
        <w:t>支出</w:t>
      </w:r>
      <w:r>
        <w:rPr>
          <w:rStyle w:val="6"/>
          <w:rFonts w:hint="default" w:ascii="Times New Roman" w:hAnsi="Times New Roman" w:eastAsia="方正仿宋_GBK" w:cs="Times New Roman"/>
          <w:sz w:val="32"/>
          <w:szCs w:val="32"/>
          <w:lang w:val="en-US" w:eastAsia="zh-CN"/>
        </w:rPr>
        <w:t>决算数为</w:t>
      </w:r>
      <w:r>
        <w:rPr>
          <w:rStyle w:val="6"/>
          <w:rFonts w:hint="eastAsia" w:ascii="Times New Roman" w:hAnsi="Times New Roman" w:eastAsia="方正仿宋_GBK" w:cs="Times New Roman"/>
          <w:sz w:val="32"/>
          <w:szCs w:val="32"/>
          <w:lang w:val="en-US" w:eastAsia="zh-CN"/>
        </w:rPr>
        <w:t>29</w:t>
      </w:r>
      <w:r>
        <w:rPr>
          <w:rStyle w:val="6"/>
          <w:rFonts w:hint="default" w:ascii="Times New Roman" w:hAnsi="Times New Roman" w:eastAsia="方正仿宋_GBK" w:cs="Times New Roman"/>
          <w:sz w:val="32"/>
          <w:szCs w:val="32"/>
          <w:lang w:val="en-US" w:eastAsia="zh-CN"/>
        </w:rPr>
        <w:t>万元，比20</w:t>
      </w:r>
      <w:r>
        <w:rPr>
          <w:rStyle w:val="6"/>
          <w:rFonts w:hint="eastAsia" w:ascii="Times New Roman" w:hAnsi="Times New Roman" w:eastAsia="方正仿宋_GBK" w:cs="Times New Roman"/>
          <w:sz w:val="32"/>
          <w:szCs w:val="32"/>
          <w:lang w:val="en-US" w:eastAsia="zh-CN"/>
        </w:rPr>
        <w:t>20</w:t>
      </w:r>
      <w:r>
        <w:rPr>
          <w:rStyle w:val="6"/>
          <w:rFonts w:hint="default" w:ascii="Times New Roman" w:hAnsi="Times New Roman" w:eastAsia="方正仿宋_GBK" w:cs="Times New Roman"/>
          <w:sz w:val="32"/>
          <w:szCs w:val="32"/>
          <w:lang w:val="en-US" w:eastAsia="zh-CN"/>
        </w:rPr>
        <w:t>年</w:t>
      </w:r>
      <w:r>
        <w:rPr>
          <w:rStyle w:val="6"/>
          <w:rFonts w:hint="eastAsia" w:ascii="Times New Roman" w:hAnsi="Times New Roman" w:eastAsia="方正仿宋_GBK" w:cs="Times New Roman"/>
          <w:sz w:val="32"/>
          <w:szCs w:val="32"/>
          <w:lang w:val="en-US" w:eastAsia="zh-CN"/>
        </w:rPr>
        <w:t>增支24万元，增长48</w:t>
      </w:r>
      <w:r>
        <w:rPr>
          <w:rStyle w:val="6"/>
          <w:rFonts w:hint="eastAsia" w:ascii="Times New Roman" w:hAnsi="Times New Roman" w:eastAsia="方正仿宋_GBK" w:cs="Times New Roman"/>
          <w:sz w:val="32"/>
          <w:szCs w:val="32"/>
          <w:highlight w:val="none"/>
          <w:lang w:val="en-US" w:eastAsia="zh-CN"/>
        </w:rPr>
        <w:t>0.0%，主要原因为：2021年拨付国有企业退休人员社会化管理以及解决历史遗留问题及改革成本专项资金29万元，2020年同类支出减少。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6"/>
          <w:rFonts w:hint="default" w:ascii="Times New Roman" w:hAnsi="Times New Roman" w:eastAsia="方正仿宋_GBK" w:cs="Times New Roman"/>
          <w:sz w:val="32"/>
          <w:szCs w:val="32"/>
          <w:lang w:val="en-US" w:eastAsia="zh-CN"/>
        </w:rPr>
      </w:pPr>
    </w:p>
    <w:sectPr>
      <w:footerReference r:id="rId3" w:type="default"/>
      <w:pgSz w:w="11906" w:h="16838"/>
      <w:pgMar w:top="2211" w:right="1474" w:bottom="1871" w:left="1587" w:header="992" w:footer="158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FSK--GBK1-0">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第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PAGE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1</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 共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NUMPAGES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6</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 xml:space="preserve">第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PAGE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1</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 共 </w:t>
                    </w:r>
                    <w:r>
                      <w:rPr>
                        <w:rFonts w:hint="eastAsia"/>
                        <w:color w:val="000000" w:themeColor="text1"/>
                        <w:sz w:val="24"/>
                        <w:szCs w:val="24"/>
                        <w:lang w:eastAsia="zh-CN"/>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NUMPAGES  \* MERGEFORMAT </w:instrText>
                    </w:r>
                    <w:r>
                      <w:rPr>
                        <w:rFonts w:hint="eastAsia"/>
                        <w:color w:val="000000" w:themeColor="text1"/>
                        <w:sz w:val="24"/>
                        <w:szCs w:val="24"/>
                        <w:lang w:eastAsia="zh-CN"/>
                        <w14:textFill>
                          <w14:solidFill>
                            <w14:schemeClr w14:val="tx1"/>
                          </w14:solidFill>
                        </w14:textFill>
                      </w:rPr>
                      <w:fldChar w:fldCharType="separate"/>
                    </w:r>
                    <w:r>
                      <w:rPr>
                        <w:rFonts w:hint="eastAsia"/>
                        <w:color w:val="000000" w:themeColor="text1"/>
                        <w:sz w:val="24"/>
                        <w:szCs w:val="24"/>
                        <w:lang w:eastAsia="zh-CN"/>
                        <w14:textFill>
                          <w14:solidFill>
                            <w14:schemeClr w14:val="tx1"/>
                          </w14:solidFill>
                        </w14:textFill>
                      </w:rPr>
                      <w:t>6</w:t>
                    </w:r>
                    <w:r>
                      <w:rPr>
                        <w:rFonts w:hint="eastAsia"/>
                        <w:color w:val="000000" w:themeColor="text1"/>
                        <w:sz w:val="24"/>
                        <w:szCs w:val="24"/>
                        <w:lang w:eastAsia="zh-CN"/>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2568"/>
    <w:multiLevelType w:val="singleLevel"/>
    <w:tmpl w:val="571C2568"/>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7359"/>
    <w:rsid w:val="0046299B"/>
    <w:rsid w:val="00563C46"/>
    <w:rsid w:val="005E45F1"/>
    <w:rsid w:val="00A85741"/>
    <w:rsid w:val="00BB112A"/>
    <w:rsid w:val="012F7252"/>
    <w:rsid w:val="01930ABF"/>
    <w:rsid w:val="02300905"/>
    <w:rsid w:val="02364D13"/>
    <w:rsid w:val="02516A7E"/>
    <w:rsid w:val="02556ED2"/>
    <w:rsid w:val="02617D1A"/>
    <w:rsid w:val="026F1910"/>
    <w:rsid w:val="02703B04"/>
    <w:rsid w:val="03BF06FC"/>
    <w:rsid w:val="03E91C84"/>
    <w:rsid w:val="040A75E1"/>
    <w:rsid w:val="04650523"/>
    <w:rsid w:val="0489715B"/>
    <w:rsid w:val="05063FC7"/>
    <w:rsid w:val="05434A69"/>
    <w:rsid w:val="0551328F"/>
    <w:rsid w:val="055D7D9A"/>
    <w:rsid w:val="0571335B"/>
    <w:rsid w:val="05ED10D7"/>
    <w:rsid w:val="068D2595"/>
    <w:rsid w:val="06E17F35"/>
    <w:rsid w:val="0764033D"/>
    <w:rsid w:val="0825518B"/>
    <w:rsid w:val="0828476A"/>
    <w:rsid w:val="08464DBE"/>
    <w:rsid w:val="08475E7C"/>
    <w:rsid w:val="08EC1EA8"/>
    <w:rsid w:val="08F864D2"/>
    <w:rsid w:val="09385EAE"/>
    <w:rsid w:val="093B095A"/>
    <w:rsid w:val="09440B27"/>
    <w:rsid w:val="096D7151"/>
    <w:rsid w:val="09C31A1F"/>
    <w:rsid w:val="0A140E07"/>
    <w:rsid w:val="0A47258E"/>
    <w:rsid w:val="0A7C3993"/>
    <w:rsid w:val="0ADE511D"/>
    <w:rsid w:val="0AE41648"/>
    <w:rsid w:val="0AE50DF1"/>
    <w:rsid w:val="0B2D1100"/>
    <w:rsid w:val="0B356AA6"/>
    <w:rsid w:val="0B3C0A8A"/>
    <w:rsid w:val="0B523C36"/>
    <w:rsid w:val="0B6C2683"/>
    <w:rsid w:val="0BFF733B"/>
    <w:rsid w:val="0C11467C"/>
    <w:rsid w:val="0C764ACD"/>
    <w:rsid w:val="0C9F601D"/>
    <w:rsid w:val="0CAA3994"/>
    <w:rsid w:val="0CAE58F7"/>
    <w:rsid w:val="0CD05170"/>
    <w:rsid w:val="0D8B6069"/>
    <w:rsid w:val="0D912282"/>
    <w:rsid w:val="0EF34686"/>
    <w:rsid w:val="0F120A00"/>
    <w:rsid w:val="0F18295E"/>
    <w:rsid w:val="0F642385"/>
    <w:rsid w:val="0FC91093"/>
    <w:rsid w:val="108C6775"/>
    <w:rsid w:val="10CF085D"/>
    <w:rsid w:val="10D8073F"/>
    <w:rsid w:val="11B9303F"/>
    <w:rsid w:val="11E32BCE"/>
    <w:rsid w:val="121D13EC"/>
    <w:rsid w:val="127B65AB"/>
    <w:rsid w:val="12C53905"/>
    <w:rsid w:val="132344B6"/>
    <w:rsid w:val="134257FA"/>
    <w:rsid w:val="1347747E"/>
    <w:rsid w:val="13596F32"/>
    <w:rsid w:val="136E4331"/>
    <w:rsid w:val="13964554"/>
    <w:rsid w:val="139C7834"/>
    <w:rsid w:val="13A44070"/>
    <w:rsid w:val="13CF408F"/>
    <w:rsid w:val="13E035C9"/>
    <w:rsid w:val="14036A88"/>
    <w:rsid w:val="14D149F3"/>
    <w:rsid w:val="14E331DC"/>
    <w:rsid w:val="150614B0"/>
    <w:rsid w:val="157C57AF"/>
    <w:rsid w:val="1613160E"/>
    <w:rsid w:val="16161DE0"/>
    <w:rsid w:val="163B2384"/>
    <w:rsid w:val="16482E4C"/>
    <w:rsid w:val="165517D3"/>
    <w:rsid w:val="16800EDD"/>
    <w:rsid w:val="16AC3E42"/>
    <w:rsid w:val="173C7BE6"/>
    <w:rsid w:val="1761346B"/>
    <w:rsid w:val="18012A89"/>
    <w:rsid w:val="181D7ACA"/>
    <w:rsid w:val="182F5A0D"/>
    <w:rsid w:val="18426E16"/>
    <w:rsid w:val="18964740"/>
    <w:rsid w:val="18C9375C"/>
    <w:rsid w:val="19FC790D"/>
    <w:rsid w:val="1A5C0B58"/>
    <w:rsid w:val="1A6416BC"/>
    <w:rsid w:val="1B0E2E60"/>
    <w:rsid w:val="1B5F082E"/>
    <w:rsid w:val="1B88325C"/>
    <w:rsid w:val="1BA31FE0"/>
    <w:rsid w:val="1BCD5D1C"/>
    <w:rsid w:val="1BF976D9"/>
    <w:rsid w:val="1D193AFF"/>
    <w:rsid w:val="1D436E97"/>
    <w:rsid w:val="1D5B5433"/>
    <w:rsid w:val="1D864D00"/>
    <w:rsid w:val="1DBC1E37"/>
    <w:rsid w:val="1DCF7E1D"/>
    <w:rsid w:val="1E266481"/>
    <w:rsid w:val="1E301594"/>
    <w:rsid w:val="1E393C2F"/>
    <w:rsid w:val="1E9279DD"/>
    <w:rsid w:val="1EE81A19"/>
    <w:rsid w:val="1F7A4FB3"/>
    <w:rsid w:val="20BF2DBB"/>
    <w:rsid w:val="20DA088C"/>
    <w:rsid w:val="211124B7"/>
    <w:rsid w:val="216F3224"/>
    <w:rsid w:val="21F729C4"/>
    <w:rsid w:val="220D35C2"/>
    <w:rsid w:val="220F7DFC"/>
    <w:rsid w:val="22366B58"/>
    <w:rsid w:val="22376D80"/>
    <w:rsid w:val="22813CEE"/>
    <w:rsid w:val="230D401C"/>
    <w:rsid w:val="231754EB"/>
    <w:rsid w:val="23602649"/>
    <w:rsid w:val="236607CF"/>
    <w:rsid w:val="238F21D9"/>
    <w:rsid w:val="23DA21F1"/>
    <w:rsid w:val="23F93976"/>
    <w:rsid w:val="23FD7015"/>
    <w:rsid w:val="23FF66BC"/>
    <w:rsid w:val="2426281E"/>
    <w:rsid w:val="246C5A7C"/>
    <w:rsid w:val="24C13010"/>
    <w:rsid w:val="24DB2E37"/>
    <w:rsid w:val="24F0199A"/>
    <w:rsid w:val="25160090"/>
    <w:rsid w:val="25186146"/>
    <w:rsid w:val="257B1F18"/>
    <w:rsid w:val="25A115B8"/>
    <w:rsid w:val="25D800B3"/>
    <w:rsid w:val="266D19D3"/>
    <w:rsid w:val="268201E2"/>
    <w:rsid w:val="268A640D"/>
    <w:rsid w:val="26A33680"/>
    <w:rsid w:val="26AB79C0"/>
    <w:rsid w:val="26AC2D8F"/>
    <w:rsid w:val="26AE503C"/>
    <w:rsid w:val="27697F15"/>
    <w:rsid w:val="27891193"/>
    <w:rsid w:val="27B56D28"/>
    <w:rsid w:val="27CA0C87"/>
    <w:rsid w:val="27CC7795"/>
    <w:rsid w:val="282E7FFC"/>
    <w:rsid w:val="288639CD"/>
    <w:rsid w:val="28DB6A08"/>
    <w:rsid w:val="29220DA1"/>
    <w:rsid w:val="29FB40B2"/>
    <w:rsid w:val="2A3B63CA"/>
    <w:rsid w:val="2A421715"/>
    <w:rsid w:val="2A52710E"/>
    <w:rsid w:val="2AD2411B"/>
    <w:rsid w:val="2B0B5A40"/>
    <w:rsid w:val="2BA25B1B"/>
    <w:rsid w:val="2BB6682E"/>
    <w:rsid w:val="2BB863F9"/>
    <w:rsid w:val="2BC7653A"/>
    <w:rsid w:val="2C182985"/>
    <w:rsid w:val="2C2F660F"/>
    <w:rsid w:val="2C322592"/>
    <w:rsid w:val="2C4C366A"/>
    <w:rsid w:val="2C5F422B"/>
    <w:rsid w:val="2CA73FFD"/>
    <w:rsid w:val="2CE6694D"/>
    <w:rsid w:val="2D0D5127"/>
    <w:rsid w:val="2E4A5632"/>
    <w:rsid w:val="2EA05742"/>
    <w:rsid w:val="2EB16D95"/>
    <w:rsid w:val="2F164796"/>
    <w:rsid w:val="2F203738"/>
    <w:rsid w:val="2F4F6DBB"/>
    <w:rsid w:val="2F611E21"/>
    <w:rsid w:val="2FEB571A"/>
    <w:rsid w:val="30070DAF"/>
    <w:rsid w:val="30311211"/>
    <w:rsid w:val="304C2719"/>
    <w:rsid w:val="3080497D"/>
    <w:rsid w:val="30DB79F3"/>
    <w:rsid w:val="30F1701E"/>
    <w:rsid w:val="31614BA6"/>
    <w:rsid w:val="31790CF1"/>
    <w:rsid w:val="321F7109"/>
    <w:rsid w:val="324D5A86"/>
    <w:rsid w:val="32626261"/>
    <w:rsid w:val="326561E1"/>
    <w:rsid w:val="32736D74"/>
    <w:rsid w:val="328B683F"/>
    <w:rsid w:val="32AC5814"/>
    <w:rsid w:val="32E03737"/>
    <w:rsid w:val="32EC3648"/>
    <w:rsid w:val="32EC486E"/>
    <w:rsid w:val="32FB1D20"/>
    <w:rsid w:val="333F014C"/>
    <w:rsid w:val="3342516F"/>
    <w:rsid w:val="337F41FC"/>
    <w:rsid w:val="33880A0F"/>
    <w:rsid w:val="339A5F22"/>
    <w:rsid w:val="35045300"/>
    <w:rsid w:val="358B04CF"/>
    <w:rsid w:val="359A4D67"/>
    <w:rsid w:val="35A50710"/>
    <w:rsid w:val="35AB3C1B"/>
    <w:rsid w:val="35F77E84"/>
    <w:rsid w:val="36151994"/>
    <w:rsid w:val="369C2B8D"/>
    <w:rsid w:val="371228A9"/>
    <w:rsid w:val="372E4E8F"/>
    <w:rsid w:val="37386A9B"/>
    <w:rsid w:val="3753143A"/>
    <w:rsid w:val="376713F7"/>
    <w:rsid w:val="37747EAB"/>
    <w:rsid w:val="379251A6"/>
    <w:rsid w:val="37C10DE2"/>
    <w:rsid w:val="38840BA6"/>
    <w:rsid w:val="38965B60"/>
    <w:rsid w:val="38BA7EAD"/>
    <w:rsid w:val="391C3EAC"/>
    <w:rsid w:val="392257A3"/>
    <w:rsid w:val="3924647B"/>
    <w:rsid w:val="39D41347"/>
    <w:rsid w:val="39DB0102"/>
    <w:rsid w:val="3A3D2B70"/>
    <w:rsid w:val="3A7826A7"/>
    <w:rsid w:val="3A983DF9"/>
    <w:rsid w:val="3AB46673"/>
    <w:rsid w:val="3AB54254"/>
    <w:rsid w:val="3ABE2017"/>
    <w:rsid w:val="3BC73834"/>
    <w:rsid w:val="3C4D6134"/>
    <w:rsid w:val="3CEA506B"/>
    <w:rsid w:val="3CFA0CA0"/>
    <w:rsid w:val="3CFA1892"/>
    <w:rsid w:val="3D15617A"/>
    <w:rsid w:val="3D906A97"/>
    <w:rsid w:val="3D96410F"/>
    <w:rsid w:val="3DAE23CE"/>
    <w:rsid w:val="3DFD52E0"/>
    <w:rsid w:val="3E2B0FCE"/>
    <w:rsid w:val="3E481695"/>
    <w:rsid w:val="3E4A2928"/>
    <w:rsid w:val="3E910568"/>
    <w:rsid w:val="3ED31D7B"/>
    <w:rsid w:val="3EE8278F"/>
    <w:rsid w:val="3F170486"/>
    <w:rsid w:val="3F5B002F"/>
    <w:rsid w:val="3FBE78C6"/>
    <w:rsid w:val="40871426"/>
    <w:rsid w:val="40902250"/>
    <w:rsid w:val="422A7DB0"/>
    <w:rsid w:val="424272CF"/>
    <w:rsid w:val="424F3C6E"/>
    <w:rsid w:val="42571AB8"/>
    <w:rsid w:val="42E66726"/>
    <w:rsid w:val="433B3C45"/>
    <w:rsid w:val="435B3B0D"/>
    <w:rsid w:val="438A4051"/>
    <w:rsid w:val="43C92463"/>
    <w:rsid w:val="442E66DD"/>
    <w:rsid w:val="446D69E5"/>
    <w:rsid w:val="44A03B4F"/>
    <w:rsid w:val="44C36D38"/>
    <w:rsid w:val="44C55D86"/>
    <w:rsid w:val="44D27F7C"/>
    <w:rsid w:val="44DA2EB1"/>
    <w:rsid w:val="44E00F2F"/>
    <w:rsid w:val="451A642C"/>
    <w:rsid w:val="45452BC1"/>
    <w:rsid w:val="455C36D0"/>
    <w:rsid w:val="4565620F"/>
    <w:rsid w:val="457E7A1A"/>
    <w:rsid w:val="45DC5182"/>
    <w:rsid w:val="4648121A"/>
    <w:rsid w:val="467B5C21"/>
    <w:rsid w:val="46B94D6A"/>
    <w:rsid w:val="47196FDD"/>
    <w:rsid w:val="474F5AA6"/>
    <w:rsid w:val="47EE23A3"/>
    <w:rsid w:val="47FC60E0"/>
    <w:rsid w:val="480B2C0A"/>
    <w:rsid w:val="48243412"/>
    <w:rsid w:val="48BF637D"/>
    <w:rsid w:val="48C87939"/>
    <w:rsid w:val="48DC68F0"/>
    <w:rsid w:val="490C30A5"/>
    <w:rsid w:val="492643B2"/>
    <w:rsid w:val="49A91930"/>
    <w:rsid w:val="49B6743F"/>
    <w:rsid w:val="4A2F2B6C"/>
    <w:rsid w:val="4A4247D3"/>
    <w:rsid w:val="4A8775E6"/>
    <w:rsid w:val="4AAB1E86"/>
    <w:rsid w:val="4B585B0D"/>
    <w:rsid w:val="4B9C4FB3"/>
    <w:rsid w:val="4B9D3678"/>
    <w:rsid w:val="4BC8539F"/>
    <w:rsid w:val="4BCB019B"/>
    <w:rsid w:val="4C683D47"/>
    <w:rsid w:val="4C6B79BB"/>
    <w:rsid w:val="4CA6459A"/>
    <w:rsid w:val="4CB45EDD"/>
    <w:rsid w:val="4CB55F20"/>
    <w:rsid w:val="4CB7041E"/>
    <w:rsid w:val="4CC74043"/>
    <w:rsid w:val="4CFB639A"/>
    <w:rsid w:val="4D1E7101"/>
    <w:rsid w:val="4D851B5C"/>
    <w:rsid w:val="4DEC1941"/>
    <w:rsid w:val="4E153442"/>
    <w:rsid w:val="4E1F211F"/>
    <w:rsid w:val="4EAF0BB7"/>
    <w:rsid w:val="4FAE3EA6"/>
    <w:rsid w:val="50596E0D"/>
    <w:rsid w:val="50606388"/>
    <w:rsid w:val="508A5144"/>
    <w:rsid w:val="51394129"/>
    <w:rsid w:val="51717AD5"/>
    <w:rsid w:val="518A13AF"/>
    <w:rsid w:val="519C12C1"/>
    <w:rsid w:val="51B81C57"/>
    <w:rsid w:val="51BC1BCE"/>
    <w:rsid w:val="51E9165A"/>
    <w:rsid w:val="51F82654"/>
    <w:rsid w:val="522834B7"/>
    <w:rsid w:val="52647F64"/>
    <w:rsid w:val="52B626BB"/>
    <w:rsid w:val="53253128"/>
    <w:rsid w:val="53CD65C2"/>
    <w:rsid w:val="53EA5D4D"/>
    <w:rsid w:val="54091664"/>
    <w:rsid w:val="549403F1"/>
    <w:rsid w:val="5495576C"/>
    <w:rsid w:val="54D72565"/>
    <w:rsid w:val="55317B36"/>
    <w:rsid w:val="5532115C"/>
    <w:rsid w:val="553C1CB1"/>
    <w:rsid w:val="55570113"/>
    <w:rsid w:val="557C321D"/>
    <w:rsid w:val="55C01E74"/>
    <w:rsid w:val="56891EB3"/>
    <w:rsid w:val="574A404D"/>
    <w:rsid w:val="5751375E"/>
    <w:rsid w:val="580455D1"/>
    <w:rsid w:val="58094104"/>
    <w:rsid w:val="58263CD8"/>
    <w:rsid w:val="58333900"/>
    <w:rsid w:val="585A4FF4"/>
    <w:rsid w:val="587A3A61"/>
    <w:rsid w:val="58F52944"/>
    <w:rsid w:val="591F579E"/>
    <w:rsid w:val="598A4618"/>
    <w:rsid w:val="59C45212"/>
    <w:rsid w:val="5A2831BB"/>
    <w:rsid w:val="5A543062"/>
    <w:rsid w:val="5A685159"/>
    <w:rsid w:val="5A6E1098"/>
    <w:rsid w:val="5A825DEE"/>
    <w:rsid w:val="5AB95069"/>
    <w:rsid w:val="5B053470"/>
    <w:rsid w:val="5B541E0A"/>
    <w:rsid w:val="5B900373"/>
    <w:rsid w:val="5BBD6585"/>
    <w:rsid w:val="5BD07314"/>
    <w:rsid w:val="5BE4023A"/>
    <w:rsid w:val="5C75417E"/>
    <w:rsid w:val="5CB332C7"/>
    <w:rsid w:val="5CD30DA6"/>
    <w:rsid w:val="5CD766D8"/>
    <w:rsid w:val="5D567687"/>
    <w:rsid w:val="5DB20221"/>
    <w:rsid w:val="5DB9075A"/>
    <w:rsid w:val="5DD04F04"/>
    <w:rsid w:val="5DED0625"/>
    <w:rsid w:val="5E424238"/>
    <w:rsid w:val="5E4713A1"/>
    <w:rsid w:val="5E850EAC"/>
    <w:rsid w:val="5E960B73"/>
    <w:rsid w:val="5E9E4405"/>
    <w:rsid w:val="5EA13457"/>
    <w:rsid w:val="5F085BEF"/>
    <w:rsid w:val="5F3F2430"/>
    <w:rsid w:val="5F485155"/>
    <w:rsid w:val="5F806CFC"/>
    <w:rsid w:val="5FCD29D2"/>
    <w:rsid w:val="5FD72037"/>
    <w:rsid w:val="5FF26049"/>
    <w:rsid w:val="60B13D97"/>
    <w:rsid w:val="60F0073C"/>
    <w:rsid w:val="61C20327"/>
    <w:rsid w:val="61F954FD"/>
    <w:rsid w:val="624C13A6"/>
    <w:rsid w:val="62754008"/>
    <w:rsid w:val="62AF5003"/>
    <w:rsid w:val="63076E6A"/>
    <w:rsid w:val="631B1145"/>
    <w:rsid w:val="636A2F98"/>
    <w:rsid w:val="639F1D20"/>
    <w:rsid w:val="63AD2324"/>
    <w:rsid w:val="63BD6D9C"/>
    <w:rsid w:val="63CD3182"/>
    <w:rsid w:val="640A32F7"/>
    <w:rsid w:val="642552D6"/>
    <w:rsid w:val="643E235A"/>
    <w:rsid w:val="644F53B2"/>
    <w:rsid w:val="645935F4"/>
    <w:rsid w:val="648210BA"/>
    <w:rsid w:val="6517635B"/>
    <w:rsid w:val="655D2793"/>
    <w:rsid w:val="65E55D1C"/>
    <w:rsid w:val="664D6A6B"/>
    <w:rsid w:val="665177B0"/>
    <w:rsid w:val="665F44DE"/>
    <w:rsid w:val="66616484"/>
    <w:rsid w:val="668D49D0"/>
    <w:rsid w:val="669C7594"/>
    <w:rsid w:val="66E446F7"/>
    <w:rsid w:val="671A3EAB"/>
    <w:rsid w:val="6727124C"/>
    <w:rsid w:val="6742049F"/>
    <w:rsid w:val="67667028"/>
    <w:rsid w:val="67784111"/>
    <w:rsid w:val="679701F2"/>
    <w:rsid w:val="68035F4C"/>
    <w:rsid w:val="681F2B99"/>
    <w:rsid w:val="683212EA"/>
    <w:rsid w:val="683E165E"/>
    <w:rsid w:val="684F73A9"/>
    <w:rsid w:val="68650AB4"/>
    <w:rsid w:val="686603B0"/>
    <w:rsid w:val="689D1838"/>
    <w:rsid w:val="68A24B05"/>
    <w:rsid w:val="68D67B7C"/>
    <w:rsid w:val="69280511"/>
    <w:rsid w:val="6933121C"/>
    <w:rsid w:val="69443B60"/>
    <w:rsid w:val="69473AB0"/>
    <w:rsid w:val="696B41AD"/>
    <w:rsid w:val="6AAE6CF2"/>
    <w:rsid w:val="6AB73D45"/>
    <w:rsid w:val="6AE02C3A"/>
    <w:rsid w:val="6AEA0BE2"/>
    <w:rsid w:val="6B08445B"/>
    <w:rsid w:val="6B352EF4"/>
    <w:rsid w:val="6B5C3FDA"/>
    <w:rsid w:val="6BA96170"/>
    <w:rsid w:val="6BB52CB4"/>
    <w:rsid w:val="6BB65333"/>
    <w:rsid w:val="6BC54F12"/>
    <w:rsid w:val="6C2956A8"/>
    <w:rsid w:val="6C4E7A06"/>
    <w:rsid w:val="6C516B4C"/>
    <w:rsid w:val="6C7528D5"/>
    <w:rsid w:val="6CA93B82"/>
    <w:rsid w:val="6D436DC0"/>
    <w:rsid w:val="6DA008E0"/>
    <w:rsid w:val="6DA716F6"/>
    <w:rsid w:val="6DE03069"/>
    <w:rsid w:val="6E0D7B5E"/>
    <w:rsid w:val="6E1A7A76"/>
    <w:rsid w:val="6E2E3EFA"/>
    <w:rsid w:val="6EB74D0C"/>
    <w:rsid w:val="6EC06B77"/>
    <w:rsid w:val="6EEF46B5"/>
    <w:rsid w:val="6EF73231"/>
    <w:rsid w:val="6EF84443"/>
    <w:rsid w:val="6F851B1C"/>
    <w:rsid w:val="6FF670F3"/>
    <w:rsid w:val="707A2371"/>
    <w:rsid w:val="708107C4"/>
    <w:rsid w:val="70F278F9"/>
    <w:rsid w:val="71252D1D"/>
    <w:rsid w:val="719B5C9A"/>
    <w:rsid w:val="71BE3085"/>
    <w:rsid w:val="722A16DB"/>
    <w:rsid w:val="72461547"/>
    <w:rsid w:val="727858A2"/>
    <w:rsid w:val="728760F4"/>
    <w:rsid w:val="728D22E2"/>
    <w:rsid w:val="72CE1802"/>
    <w:rsid w:val="72E115C4"/>
    <w:rsid w:val="72F25EBA"/>
    <w:rsid w:val="72F37B93"/>
    <w:rsid w:val="7342018B"/>
    <w:rsid w:val="734F6F0A"/>
    <w:rsid w:val="7367290B"/>
    <w:rsid w:val="737E6A47"/>
    <w:rsid w:val="73C52E66"/>
    <w:rsid w:val="740E2EA8"/>
    <w:rsid w:val="74435793"/>
    <w:rsid w:val="745A778C"/>
    <w:rsid w:val="74614408"/>
    <w:rsid w:val="74793569"/>
    <w:rsid w:val="747F02DD"/>
    <w:rsid w:val="75837BC4"/>
    <w:rsid w:val="75BC4BD2"/>
    <w:rsid w:val="767D3DA0"/>
    <w:rsid w:val="76853716"/>
    <w:rsid w:val="7742259B"/>
    <w:rsid w:val="77842185"/>
    <w:rsid w:val="77A97721"/>
    <w:rsid w:val="784719D2"/>
    <w:rsid w:val="7851559B"/>
    <w:rsid w:val="78C86835"/>
    <w:rsid w:val="78E13FC4"/>
    <w:rsid w:val="7942246F"/>
    <w:rsid w:val="794418FF"/>
    <w:rsid w:val="794E3538"/>
    <w:rsid w:val="79A2526B"/>
    <w:rsid w:val="79A577B6"/>
    <w:rsid w:val="79FF0BE9"/>
    <w:rsid w:val="7A071D0D"/>
    <w:rsid w:val="7A2F7894"/>
    <w:rsid w:val="7A3B0680"/>
    <w:rsid w:val="7A4C2260"/>
    <w:rsid w:val="7AA76290"/>
    <w:rsid w:val="7B19513D"/>
    <w:rsid w:val="7B2C74D9"/>
    <w:rsid w:val="7B327DAE"/>
    <w:rsid w:val="7B350DA9"/>
    <w:rsid w:val="7B6725B3"/>
    <w:rsid w:val="7B7A7B16"/>
    <w:rsid w:val="7B985991"/>
    <w:rsid w:val="7BB65FD5"/>
    <w:rsid w:val="7BBF170D"/>
    <w:rsid w:val="7BCB3416"/>
    <w:rsid w:val="7C3F3185"/>
    <w:rsid w:val="7C843CA3"/>
    <w:rsid w:val="7CC31C8B"/>
    <w:rsid w:val="7CED711A"/>
    <w:rsid w:val="7D046088"/>
    <w:rsid w:val="7D406C02"/>
    <w:rsid w:val="7D691A06"/>
    <w:rsid w:val="7DB24695"/>
    <w:rsid w:val="7DC3128C"/>
    <w:rsid w:val="7DDF401C"/>
    <w:rsid w:val="7E08679F"/>
    <w:rsid w:val="7E9A67CD"/>
    <w:rsid w:val="7EB90CE8"/>
    <w:rsid w:val="7F030493"/>
    <w:rsid w:val="7F231780"/>
    <w:rsid w:val="7F4C2A23"/>
    <w:rsid w:val="7F7C4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style01"/>
    <w:basedOn w:val="5"/>
    <w:qFormat/>
    <w:uiPriority w:val="0"/>
    <w:rPr>
      <w:rFonts w:ascii="FZFSK--GBK1-0" w:hAnsi="FZFSK--GBK1-0" w:eastAsia="FZFSK--GBK1-0" w:cs="FZFSK--GBK1-0"/>
      <w:color w:val="000000"/>
      <w:sz w:val="32"/>
      <w:szCs w:val="32"/>
    </w:rPr>
  </w:style>
  <w:style w:type="character" w:customStyle="1" w:styleId="7">
    <w:name w:val="fontstyle21"/>
    <w:basedOn w:val="5"/>
    <w:qFormat/>
    <w:uiPriority w:val="0"/>
    <w:rPr>
      <w:rFonts w:ascii="TimesNewRomanPS-BoldMT" w:hAnsi="TimesNewRomanPS-BoldMT" w:eastAsia="TimesNewRomanPS-BoldMT" w:cs="TimesNewRomanPS-BoldMT"/>
      <w:b/>
      <w:color w:val="000000"/>
      <w:sz w:val="32"/>
      <w:szCs w:val="32"/>
    </w:rPr>
  </w:style>
  <w:style w:type="character" w:customStyle="1" w:styleId="8">
    <w:name w:val="fontstyle31"/>
    <w:basedOn w:val="5"/>
    <w:qFormat/>
    <w:uiPriority w:val="0"/>
    <w:rPr>
      <w:rFonts w:ascii="宋体" w:hAnsi="宋体" w:eastAsia="宋体" w:cs="宋体"/>
      <w:color w:val="000000"/>
      <w:sz w:val="24"/>
      <w:szCs w:val="24"/>
    </w:rPr>
  </w:style>
  <w:style w:type="character" w:customStyle="1" w:styleId="9">
    <w:name w:val="fontstyle41"/>
    <w:basedOn w:val="5"/>
    <w:uiPriority w:val="0"/>
    <w:rPr>
      <w:rFonts w:ascii="Calibri" w:hAnsi="Calibri" w:cs="Calibri"/>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2022-10-17T10:41:17Z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