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atLeast"/>
        <w:rPr>
          <w:rFonts w:ascii="仿宋" w:hAnsi="仿宋" w:eastAsia="仿宋" w:cs="仿宋_GB2312"/>
          <w:sz w:val="32"/>
          <w:szCs w:val="30"/>
        </w:rPr>
      </w:pPr>
    </w:p>
    <w:p>
      <w:pPr>
        <w:framePr w:hSpace="180" w:wrap="around" w:vAnchor="text" w:hAnchor="margin" w:xAlign="center" w:y="165"/>
        <w:widowControl/>
        <w:overflowPunct w:val="0"/>
        <w:autoSpaceDE w:val="0"/>
        <w:autoSpaceDN w:val="0"/>
        <w:spacing w:line="700" w:lineRule="exact"/>
        <w:rPr>
          <w:rFonts w:ascii="仿宋" w:hAnsi="仿宋" w:eastAsia="仿宋"/>
          <w:b/>
          <w:sz w:val="36"/>
          <w:szCs w:val="36"/>
        </w:rPr>
      </w:pPr>
    </w:p>
    <w:p>
      <w:pPr>
        <w:framePr w:hSpace="180" w:wrap="around" w:vAnchor="text" w:hAnchor="margin" w:xAlign="center" w:y="165"/>
        <w:spacing w:line="700" w:lineRule="exact"/>
        <w:jc w:val="center"/>
        <w:rPr>
          <w:rFonts w:ascii="方正小标宋_GBK" w:hAnsi="方正小标宋_GBK" w:eastAsia="方正小标宋_GBK" w:cs="方正小标宋_GBK"/>
          <w:bCs/>
          <w:spacing w:val="40"/>
          <w:sz w:val="44"/>
          <w:szCs w:val="44"/>
        </w:rPr>
      </w:pPr>
      <w:r>
        <w:rPr>
          <w:rFonts w:hint="eastAsia" w:ascii="方正小标宋_GBK" w:hAnsi="方正小标宋_GBK" w:eastAsia="方正小标宋_GBK" w:cs="方正小标宋_GBK"/>
          <w:bCs/>
          <w:spacing w:val="40"/>
          <w:sz w:val="44"/>
          <w:szCs w:val="44"/>
        </w:rPr>
        <w:t>勐海县县本级部门201</w:t>
      </w:r>
      <w:r>
        <w:rPr>
          <w:rFonts w:ascii="方正小标宋_GBK" w:hAnsi="方正小标宋_GBK" w:eastAsia="方正小标宋_GBK" w:cs="方正小标宋_GBK"/>
          <w:bCs/>
          <w:spacing w:val="40"/>
          <w:sz w:val="44"/>
          <w:szCs w:val="44"/>
        </w:rPr>
        <w:t>9</w:t>
      </w:r>
      <w:r>
        <w:rPr>
          <w:rFonts w:hint="eastAsia" w:ascii="方正小标宋_GBK" w:hAnsi="方正小标宋_GBK" w:eastAsia="方正小标宋_GBK" w:cs="方正小标宋_GBK"/>
          <w:bCs/>
          <w:spacing w:val="40"/>
          <w:sz w:val="44"/>
          <w:szCs w:val="44"/>
        </w:rPr>
        <w:t>年整体支出</w:t>
      </w:r>
    </w:p>
    <w:p>
      <w:pPr>
        <w:framePr w:hSpace="180" w:wrap="around" w:vAnchor="text" w:hAnchor="margin" w:xAlign="center" w:y="165"/>
        <w:spacing w:line="700" w:lineRule="exact"/>
        <w:jc w:val="center"/>
        <w:rPr>
          <w:rFonts w:ascii="宋体" w:hAnsi="宋体" w:cs="仿宋_GB2312"/>
          <w:b/>
          <w:spacing w:val="40"/>
          <w:sz w:val="44"/>
          <w:szCs w:val="44"/>
        </w:rPr>
      </w:pPr>
      <w:r>
        <w:rPr>
          <w:rFonts w:hint="eastAsia" w:ascii="方正小标宋_GBK" w:hAnsi="方正小标宋_GBK" w:eastAsia="方正小标宋_GBK" w:cs="方正小标宋_GBK"/>
          <w:bCs/>
          <w:spacing w:val="40"/>
          <w:sz w:val="44"/>
          <w:szCs w:val="44"/>
        </w:rPr>
        <w:t>绩效评价报告</w:t>
      </w:r>
    </w:p>
    <w:p>
      <w:pPr>
        <w:framePr w:hSpace="180" w:wrap="around" w:vAnchor="text" w:hAnchor="margin" w:xAlign="center" w:y="165"/>
        <w:spacing w:line="700" w:lineRule="exact"/>
        <w:jc w:val="center"/>
        <w:rPr>
          <w:rFonts w:ascii="宋体" w:hAnsi="宋体" w:cs="仿宋_GB2312"/>
          <w:b/>
          <w:spacing w:val="40"/>
          <w:sz w:val="44"/>
          <w:szCs w:val="44"/>
        </w:rPr>
      </w:pPr>
    </w:p>
    <w:p>
      <w:pPr>
        <w:framePr w:hSpace="180" w:wrap="around" w:vAnchor="text" w:hAnchor="margin" w:xAlign="center" w:y="165"/>
        <w:spacing w:line="700" w:lineRule="exact"/>
        <w:jc w:val="center"/>
        <w:rPr>
          <w:rFonts w:ascii="宋体" w:hAnsi="宋体" w:cs="仿宋_GB2312"/>
          <w:b/>
          <w:spacing w:val="40"/>
          <w:sz w:val="44"/>
          <w:szCs w:val="44"/>
        </w:rPr>
      </w:pPr>
    </w:p>
    <w:p>
      <w:pPr>
        <w:framePr w:hSpace="180" w:wrap="around" w:vAnchor="text" w:hAnchor="margin" w:xAlign="center" w:y="165"/>
        <w:jc w:val="center"/>
        <w:rPr>
          <w:rFonts w:ascii="宋体" w:hAnsi="宋体" w:cs="仿宋_GB2312"/>
          <w:b/>
          <w:sz w:val="44"/>
          <w:szCs w:val="44"/>
        </w:rPr>
      </w:pPr>
    </w:p>
    <w:p>
      <w:pPr>
        <w:framePr w:hSpace="180" w:wrap="around" w:vAnchor="text" w:hAnchor="margin" w:xAlign="center" w:y="165"/>
        <w:rPr>
          <w:rFonts w:ascii="宋体" w:hAnsi="宋体" w:cs="仿宋_GB2312"/>
          <w:b/>
          <w:sz w:val="44"/>
          <w:szCs w:val="44"/>
        </w:rPr>
      </w:pPr>
    </w:p>
    <w:p>
      <w:pPr>
        <w:framePr w:hSpace="180" w:wrap="around" w:vAnchor="text" w:hAnchor="margin" w:xAlign="center" w:y="165"/>
        <w:rPr>
          <w:rFonts w:ascii="宋体" w:hAnsi="宋体" w:cs="仿宋_GB2312"/>
          <w:b/>
          <w:sz w:val="44"/>
          <w:szCs w:val="44"/>
        </w:rPr>
      </w:pPr>
    </w:p>
    <w:p>
      <w:pPr>
        <w:framePr w:hSpace="180" w:wrap="around" w:vAnchor="text" w:hAnchor="margin" w:xAlign="center" w:y="165"/>
        <w:rPr>
          <w:rFonts w:ascii="宋体" w:hAnsi="宋体" w:cs="仿宋_GB2312"/>
          <w:b/>
          <w:sz w:val="44"/>
          <w:szCs w:val="44"/>
        </w:rPr>
      </w:pPr>
    </w:p>
    <w:p>
      <w:pPr>
        <w:framePr w:hSpace="180" w:wrap="around" w:vAnchor="text" w:hAnchor="margin" w:xAlign="center" w:y="165"/>
        <w:rPr>
          <w:rFonts w:ascii="宋体" w:hAnsi="宋体" w:cs="仿宋_GB2312"/>
          <w:b/>
          <w:sz w:val="44"/>
          <w:szCs w:val="44"/>
        </w:rPr>
      </w:pPr>
    </w:p>
    <w:p>
      <w:pPr>
        <w:framePr w:hSpace="180" w:wrap="around" w:vAnchor="text" w:hAnchor="margin" w:xAlign="center" w:y="165"/>
        <w:rPr>
          <w:rFonts w:ascii="仿宋" w:hAnsi="仿宋" w:eastAsia="仿宋"/>
          <w:b/>
          <w:sz w:val="30"/>
          <w:szCs w:val="32"/>
        </w:rPr>
      </w:pPr>
    </w:p>
    <w:p>
      <w:pPr>
        <w:framePr w:hSpace="180" w:wrap="around" w:vAnchor="text" w:hAnchor="margin" w:xAlign="center" w:y="165"/>
        <w:spacing w:line="800" w:lineRule="exact"/>
        <w:ind w:firstLine="480" w:firstLineChars="150"/>
        <w:rPr>
          <w:rFonts w:eastAsia="方正仿宋_GBK"/>
          <w:color w:val="000000"/>
          <w:kern w:val="0"/>
          <w:sz w:val="32"/>
          <w:szCs w:val="32"/>
        </w:rPr>
      </w:pPr>
      <w:r>
        <w:rPr>
          <w:rFonts w:eastAsia="方正仿宋_GBK"/>
          <w:color w:val="000000"/>
          <w:kern w:val="0"/>
          <w:sz w:val="32"/>
          <w:szCs w:val="32"/>
        </w:rPr>
        <w:t>项目名称：勐海</w:t>
      </w:r>
      <w:r>
        <w:rPr>
          <w:rFonts w:hint="eastAsia" w:eastAsia="方正仿宋_GBK"/>
          <w:color w:val="000000"/>
          <w:kern w:val="0"/>
          <w:sz w:val="32"/>
          <w:szCs w:val="32"/>
        </w:rPr>
        <w:t>工业园区管理委员会</w:t>
      </w:r>
      <w:r>
        <w:rPr>
          <w:rFonts w:eastAsia="方正仿宋_GBK"/>
          <w:color w:val="000000"/>
          <w:kern w:val="0"/>
          <w:sz w:val="32"/>
          <w:szCs w:val="32"/>
        </w:rPr>
        <w:t>201</w:t>
      </w:r>
      <w:r>
        <w:rPr>
          <w:rFonts w:hint="eastAsia" w:eastAsia="方正仿宋_GBK"/>
          <w:color w:val="000000"/>
          <w:kern w:val="0"/>
          <w:sz w:val="32"/>
          <w:szCs w:val="32"/>
        </w:rPr>
        <w:t>9</w:t>
      </w:r>
      <w:r>
        <w:rPr>
          <w:rFonts w:eastAsia="方正仿宋_GBK"/>
          <w:color w:val="000000"/>
          <w:kern w:val="0"/>
          <w:sz w:val="32"/>
          <w:szCs w:val="32"/>
        </w:rPr>
        <w:t xml:space="preserve">年度部门整体支出         </w:t>
      </w:r>
    </w:p>
    <w:p>
      <w:pPr>
        <w:framePr w:hSpace="180" w:wrap="around" w:vAnchor="text" w:hAnchor="margin" w:xAlign="center" w:y="165"/>
        <w:spacing w:line="800" w:lineRule="exact"/>
        <w:ind w:firstLine="480" w:firstLineChars="150"/>
        <w:rPr>
          <w:rFonts w:eastAsia="方正仿宋_GBK"/>
          <w:color w:val="000000"/>
          <w:kern w:val="0"/>
          <w:sz w:val="32"/>
          <w:szCs w:val="32"/>
        </w:rPr>
      </w:pPr>
      <w:r>
        <w:rPr>
          <w:rFonts w:eastAsia="方正仿宋_GBK"/>
          <w:color w:val="000000"/>
          <w:kern w:val="0"/>
          <w:sz w:val="32"/>
          <w:szCs w:val="32"/>
        </w:rPr>
        <w:t>项目单位：勐海</w:t>
      </w:r>
      <w:r>
        <w:rPr>
          <w:rFonts w:hint="eastAsia" w:eastAsia="方正仿宋_GBK"/>
          <w:color w:val="000000"/>
          <w:kern w:val="0"/>
          <w:sz w:val="32"/>
          <w:szCs w:val="32"/>
        </w:rPr>
        <w:t>工业园区管理委员会</w:t>
      </w:r>
    </w:p>
    <w:p>
      <w:pPr>
        <w:framePr w:hSpace="180" w:wrap="around" w:vAnchor="text" w:hAnchor="margin" w:xAlign="center" w:y="165"/>
        <w:spacing w:line="800" w:lineRule="exact"/>
        <w:ind w:firstLine="480" w:firstLineChars="150"/>
        <w:rPr>
          <w:rFonts w:eastAsia="方正仿宋_GBK"/>
          <w:color w:val="000000"/>
          <w:kern w:val="0"/>
          <w:sz w:val="32"/>
          <w:szCs w:val="32"/>
        </w:rPr>
      </w:pPr>
      <w:r>
        <w:rPr>
          <w:rFonts w:eastAsia="方正仿宋_GBK"/>
          <w:sz w:val="32"/>
          <w:szCs w:val="32"/>
        </w:rPr>
        <w:t>主管部门：</w:t>
      </w:r>
      <w:r>
        <w:rPr>
          <w:rFonts w:eastAsia="方正仿宋_GBK"/>
          <w:color w:val="000000"/>
          <w:kern w:val="0"/>
          <w:sz w:val="32"/>
          <w:szCs w:val="32"/>
        </w:rPr>
        <w:t>勐海</w:t>
      </w:r>
      <w:r>
        <w:rPr>
          <w:rFonts w:hint="eastAsia" w:eastAsia="方正仿宋_GBK"/>
          <w:color w:val="000000"/>
          <w:kern w:val="0"/>
          <w:sz w:val="32"/>
          <w:szCs w:val="32"/>
        </w:rPr>
        <w:t>工业园区管理委员会</w:t>
      </w:r>
    </w:p>
    <w:p>
      <w:pPr>
        <w:framePr w:hSpace="180" w:wrap="around" w:vAnchor="text" w:hAnchor="margin" w:xAlign="center" w:y="165"/>
        <w:spacing w:line="800" w:lineRule="exact"/>
        <w:ind w:firstLine="480" w:firstLineChars="150"/>
        <w:rPr>
          <w:rFonts w:eastAsia="方正仿宋_GBK"/>
          <w:color w:val="000000"/>
          <w:kern w:val="0"/>
          <w:sz w:val="32"/>
          <w:szCs w:val="32"/>
        </w:rPr>
      </w:pPr>
      <w:r>
        <w:rPr>
          <w:rFonts w:eastAsia="方正仿宋_GBK"/>
          <w:color w:val="000000"/>
          <w:kern w:val="0"/>
          <w:sz w:val="32"/>
          <w:szCs w:val="32"/>
        </w:rPr>
        <w:t>评价机构：</w:t>
      </w:r>
      <w:r>
        <w:rPr>
          <w:rFonts w:hint="eastAsia" w:eastAsia="方正仿宋_GBK"/>
          <w:color w:val="000000"/>
          <w:kern w:val="0"/>
          <w:sz w:val="32"/>
          <w:szCs w:val="32"/>
        </w:rPr>
        <w:t>云南</w:t>
      </w:r>
      <w:r>
        <w:rPr>
          <w:rFonts w:eastAsia="方正仿宋_GBK"/>
          <w:color w:val="000000"/>
          <w:kern w:val="0"/>
          <w:sz w:val="32"/>
          <w:szCs w:val="32"/>
        </w:rPr>
        <w:t>信立会计师事务所有限公司</w:t>
      </w:r>
    </w:p>
    <w:p>
      <w:pPr>
        <w:framePr w:hSpace="180" w:wrap="around" w:vAnchor="text" w:hAnchor="margin" w:xAlign="center" w:y="165"/>
        <w:spacing w:line="800" w:lineRule="exact"/>
        <w:ind w:firstLine="480" w:firstLineChars="150"/>
        <w:rPr>
          <w:rFonts w:eastAsia="方正仿宋_GBK"/>
          <w:color w:val="000000"/>
          <w:kern w:val="0"/>
          <w:sz w:val="32"/>
          <w:szCs w:val="32"/>
        </w:rPr>
      </w:pPr>
    </w:p>
    <w:p>
      <w:pPr>
        <w:spacing w:line="20" w:lineRule="atLeast"/>
        <w:jc w:val="center"/>
        <w:rPr>
          <w:rFonts w:ascii="仿宋_GB2312" w:eastAsia="仿宋_GB2312"/>
          <w:color w:val="000000"/>
          <w:kern w:val="0"/>
          <w:sz w:val="32"/>
          <w:szCs w:val="32"/>
        </w:rPr>
      </w:pPr>
      <w:r>
        <w:rPr>
          <w:rFonts w:eastAsia="方正仿宋_GBK"/>
          <w:kern w:val="0"/>
          <w:sz w:val="32"/>
          <w:szCs w:val="32"/>
        </w:rPr>
        <w:t>报告日期：</w:t>
      </w:r>
      <w:r>
        <w:rPr>
          <w:rFonts w:eastAsia="方正仿宋_GBK"/>
          <w:color w:val="000000"/>
          <w:kern w:val="0"/>
          <w:sz w:val="32"/>
          <w:szCs w:val="32"/>
        </w:rPr>
        <w:t>2020年10月</w:t>
      </w:r>
    </w:p>
    <w:p>
      <w:pPr>
        <w:spacing w:line="20" w:lineRule="atLeast"/>
        <w:rPr>
          <w:rFonts w:ascii="仿宋" w:hAnsi="仿宋" w:eastAsia="仿宋" w:cs="宋体"/>
          <w:kern w:val="0"/>
          <w:sz w:val="44"/>
          <w:szCs w:val="44"/>
        </w:rPr>
        <w:sectPr>
          <w:headerReference r:id="rId3" w:type="default"/>
          <w:footerReference r:id="rId4" w:type="default"/>
          <w:footerReference r:id="rId5" w:type="even"/>
          <w:pgSz w:w="11906" w:h="16838"/>
          <w:pgMar w:top="1418" w:right="1474" w:bottom="1418" w:left="1531" w:header="851" w:footer="992" w:gutter="0"/>
          <w:pgNumType w:fmt="numberInDash" w:chapStyle="1"/>
          <w:cols w:space="720" w:num="1"/>
          <w:docGrid w:type="linesAndChars" w:linePitch="312" w:charSpace="0"/>
        </w:sectPr>
      </w:pPr>
    </w:p>
    <w:p>
      <w:pPr>
        <w:pStyle w:val="13"/>
        <w:rPr>
          <w:rFonts w:hint="eastAsia"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目  录</w:t>
      </w:r>
    </w:p>
    <w:p>
      <w:pPr>
        <w:pStyle w:val="13"/>
        <w:rPr>
          <w:rFonts w:ascii="仿宋" w:hAnsi="仿宋" w:eastAsia="仿宋" w:cstheme="minorBidi"/>
          <w:b/>
          <w:color w:val="000000" w:themeColor="text1"/>
          <w:kern w:val="2"/>
          <w14:textFill>
            <w14:solidFill>
              <w14:schemeClr w14:val="tx1"/>
            </w14:solidFill>
          </w14:textFill>
        </w:rPr>
      </w:pPr>
      <w:r>
        <w:rPr>
          <w:rFonts w:ascii="仿宋" w:hAnsi="仿宋" w:eastAsia="仿宋"/>
          <w:color w:val="000000" w:themeColor="text1"/>
          <w14:textFill>
            <w14:solidFill>
              <w14:schemeClr w14:val="tx1"/>
            </w14:solidFill>
          </w14:textFill>
        </w:rPr>
        <w:fldChar w:fldCharType="begin"/>
      </w:r>
      <w:r>
        <w:rPr>
          <w:rFonts w:ascii="仿宋" w:hAnsi="仿宋" w:eastAsia="仿宋"/>
          <w:color w:val="000000" w:themeColor="text1"/>
          <w14:textFill>
            <w14:solidFill>
              <w14:schemeClr w14:val="tx1"/>
            </w14:solidFill>
          </w14:textFill>
        </w:rPr>
        <w:instrText xml:space="preserve"> TOC \o "1-3" \h \z \u </w:instrText>
      </w:r>
      <w:r>
        <w:rPr>
          <w:rFonts w:ascii="仿宋" w:hAnsi="仿宋" w:eastAsia="仿宋"/>
          <w:color w:val="000000" w:themeColor="text1"/>
          <w14:textFill>
            <w14:solidFill>
              <w14:schemeClr w14:val="tx1"/>
            </w14:solidFill>
          </w14:textFill>
        </w:rPr>
        <w:fldChar w:fldCharType="separate"/>
      </w:r>
      <w:r>
        <w:fldChar w:fldCharType="begin"/>
      </w:r>
      <w:r>
        <w:instrText xml:space="preserve"> HYPERLINK \l "_Toc54790324" </w:instrText>
      </w:r>
      <w:r>
        <w:fldChar w:fldCharType="separate"/>
      </w:r>
      <w:r>
        <w:rPr>
          <w:rStyle w:val="23"/>
          <w:rFonts w:hint="eastAsia" w:ascii="仿宋" w:hAnsi="仿宋" w:eastAsia="仿宋"/>
          <w:b/>
          <w:color w:val="000000" w:themeColor="text1"/>
          <w14:textFill>
            <w14:solidFill>
              <w14:schemeClr w14:val="tx1"/>
            </w14:solidFill>
          </w14:textFill>
        </w:rPr>
        <w:t>一、部门基本情况</w:t>
      </w:r>
      <w:r>
        <w:rPr>
          <w:rFonts w:ascii="仿宋" w:hAnsi="仿宋" w:eastAsia="仿宋"/>
          <w:b/>
          <w:color w:val="000000" w:themeColor="text1"/>
          <w14:textFill>
            <w14:solidFill>
              <w14:schemeClr w14:val="tx1"/>
            </w14:solidFill>
          </w14:textFill>
        </w:rPr>
        <w:tab/>
      </w:r>
      <w:r>
        <w:rPr>
          <w:rFonts w:ascii="仿宋" w:hAnsi="仿宋" w:eastAsia="仿宋"/>
          <w:b/>
          <w:color w:val="000000" w:themeColor="text1"/>
          <w14:textFill>
            <w14:solidFill>
              <w14:schemeClr w14:val="tx1"/>
            </w14:solidFill>
          </w14:textFill>
        </w:rPr>
        <w:fldChar w:fldCharType="begin"/>
      </w:r>
      <w:r>
        <w:rPr>
          <w:rFonts w:ascii="仿宋" w:hAnsi="仿宋" w:eastAsia="仿宋"/>
          <w:b/>
          <w:color w:val="000000" w:themeColor="text1"/>
          <w14:textFill>
            <w14:solidFill>
              <w14:schemeClr w14:val="tx1"/>
            </w14:solidFill>
          </w14:textFill>
        </w:rPr>
        <w:instrText xml:space="preserve"> PAGEREF _Toc54790324 \h </w:instrText>
      </w:r>
      <w:r>
        <w:rPr>
          <w:rFonts w:ascii="仿宋" w:hAnsi="仿宋" w:eastAsia="仿宋"/>
          <w:b/>
          <w:color w:val="000000" w:themeColor="text1"/>
          <w14:textFill>
            <w14:solidFill>
              <w14:schemeClr w14:val="tx1"/>
            </w14:solidFill>
          </w14:textFill>
        </w:rPr>
        <w:fldChar w:fldCharType="separate"/>
      </w:r>
      <w:r>
        <w:rPr>
          <w:rFonts w:ascii="仿宋" w:hAnsi="仿宋" w:eastAsia="仿宋"/>
          <w:b/>
          <w:color w:val="000000" w:themeColor="text1"/>
          <w14:textFill>
            <w14:solidFill>
              <w14:schemeClr w14:val="tx1"/>
            </w14:solidFill>
          </w14:textFill>
        </w:rPr>
        <w:t>2</w:t>
      </w:r>
      <w:r>
        <w:rPr>
          <w:rFonts w:ascii="仿宋" w:hAnsi="仿宋" w:eastAsia="仿宋"/>
          <w:b/>
          <w:color w:val="000000" w:themeColor="text1"/>
          <w14:textFill>
            <w14:solidFill>
              <w14:schemeClr w14:val="tx1"/>
            </w14:solidFill>
          </w14:textFill>
        </w:rPr>
        <w:fldChar w:fldCharType="end"/>
      </w:r>
      <w:r>
        <w:rPr>
          <w:rFonts w:ascii="仿宋" w:hAnsi="仿宋" w:eastAsia="仿宋"/>
          <w:b/>
          <w:color w:val="000000" w:themeColor="text1"/>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"_Toc54790325" </w:instrText>
      </w:r>
      <w:r>
        <w:fldChar w:fldCharType="separate"/>
      </w:r>
      <w:r>
        <w:rPr>
          <w:rStyle w:val="23"/>
          <w:rFonts w:hint="eastAsia" w:ascii="仿宋" w:hAnsi="仿宋" w:eastAsia="仿宋"/>
          <w:color w:val="000000" w:themeColor="text1"/>
          <w:sz w:val="28"/>
          <w:szCs w:val="28"/>
          <w14:textFill>
            <w14:solidFill>
              <w14:schemeClr w14:val="tx1"/>
            </w14:solidFill>
          </w14:textFill>
        </w:rPr>
        <w:t>（一）部门机构设置及编制</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_Toc54790325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"_Toc54790326" </w:instrText>
      </w:r>
      <w:r>
        <w:fldChar w:fldCharType="separate"/>
      </w:r>
      <w:r>
        <w:rPr>
          <w:rStyle w:val="23"/>
          <w:rFonts w:hint="eastAsia" w:ascii="仿宋" w:hAnsi="仿宋" w:eastAsia="仿宋"/>
          <w:color w:val="000000" w:themeColor="text1"/>
          <w:sz w:val="28"/>
          <w:szCs w:val="28"/>
          <w14:textFill>
            <w14:solidFill>
              <w14:schemeClr w14:val="tx1"/>
            </w14:solidFill>
          </w14:textFill>
        </w:rPr>
        <w:t>（二）部门职能</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_Toc54790326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"_Toc54790327" </w:instrText>
      </w:r>
      <w:r>
        <w:fldChar w:fldCharType="separate"/>
      </w:r>
      <w:r>
        <w:rPr>
          <w:rStyle w:val="23"/>
          <w:rFonts w:hint="eastAsia" w:ascii="仿宋" w:hAnsi="仿宋" w:eastAsia="仿宋"/>
          <w:color w:val="000000" w:themeColor="text1"/>
          <w:sz w:val="28"/>
          <w:szCs w:val="28"/>
          <w14:textFill>
            <w14:solidFill>
              <w14:schemeClr w14:val="tx1"/>
            </w14:solidFill>
          </w14:textFill>
        </w:rPr>
        <w:t>（三）部门</w:t>
      </w:r>
      <w:r>
        <w:rPr>
          <w:rStyle w:val="23"/>
          <w:rFonts w:ascii="仿宋" w:hAnsi="仿宋" w:eastAsia="仿宋"/>
          <w:color w:val="000000" w:themeColor="text1"/>
          <w:sz w:val="28"/>
          <w:szCs w:val="28"/>
          <w14:textFill>
            <w14:solidFill>
              <w14:schemeClr w14:val="tx1"/>
            </w14:solidFill>
          </w14:textFill>
        </w:rPr>
        <w:t>2019</w:t>
      </w:r>
      <w:r>
        <w:rPr>
          <w:rStyle w:val="23"/>
          <w:rFonts w:hint="eastAsia" w:ascii="仿宋" w:hAnsi="仿宋" w:eastAsia="仿宋"/>
          <w:color w:val="000000" w:themeColor="text1"/>
          <w:sz w:val="28"/>
          <w:szCs w:val="28"/>
          <w14:textFill>
            <w14:solidFill>
              <w14:schemeClr w14:val="tx1"/>
            </w14:solidFill>
          </w14:textFill>
        </w:rPr>
        <w:t>年工作完成情况</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_Toc54790327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"_Toc54790328" </w:instrText>
      </w:r>
      <w:r>
        <w:fldChar w:fldCharType="separate"/>
      </w:r>
      <w:r>
        <w:rPr>
          <w:rStyle w:val="23"/>
          <w:rFonts w:hint="eastAsia" w:ascii="仿宋" w:hAnsi="仿宋" w:eastAsia="仿宋"/>
          <w:color w:val="000000" w:themeColor="text1"/>
          <w:sz w:val="28"/>
          <w:szCs w:val="28"/>
          <w14:textFill>
            <w14:solidFill>
              <w14:schemeClr w14:val="tx1"/>
            </w14:solidFill>
          </w14:textFill>
        </w:rPr>
        <w:t>（四）部门管理制度</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_Toc54790328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9</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"_Toc54790329" </w:instrText>
      </w:r>
      <w:r>
        <w:fldChar w:fldCharType="separate"/>
      </w:r>
      <w:r>
        <w:rPr>
          <w:rStyle w:val="23"/>
          <w:rFonts w:hint="eastAsia" w:ascii="仿宋" w:hAnsi="仿宋" w:eastAsia="仿宋"/>
          <w:color w:val="000000" w:themeColor="text1"/>
          <w:sz w:val="28"/>
          <w:szCs w:val="28"/>
          <w14:textFill>
            <w14:solidFill>
              <w14:schemeClr w14:val="tx1"/>
            </w14:solidFill>
          </w14:textFill>
        </w:rPr>
        <w:t>（五）部门资金来源及使用情况</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_Toc54790329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9</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"_Toc54790330" </w:instrText>
      </w:r>
      <w:r>
        <w:fldChar w:fldCharType="separate"/>
      </w:r>
      <w:r>
        <w:rPr>
          <w:rStyle w:val="23"/>
          <w:rFonts w:hint="eastAsia" w:ascii="仿宋" w:hAnsi="仿宋" w:eastAsia="仿宋"/>
          <w:color w:val="000000" w:themeColor="text1"/>
          <w:sz w:val="28"/>
          <w:szCs w:val="28"/>
          <w14:textFill>
            <w14:solidFill>
              <w14:schemeClr w14:val="tx1"/>
            </w14:solidFill>
          </w14:textFill>
        </w:rPr>
        <w:t>（六）政府采购情况</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_Toc54790330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10</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"_Toc54790331" </w:instrText>
      </w:r>
      <w:r>
        <w:fldChar w:fldCharType="separate"/>
      </w:r>
      <w:r>
        <w:rPr>
          <w:rStyle w:val="23"/>
          <w:rFonts w:hint="eastAsia" w:ascii="仿宋" w:hAnsi="仿宋" w:eastAsia="仿宋"/>
          <w:color w:val="000000" w:themeColor="text1"/>
          <w:sz w:val="28"/>
          <w:szCs w:val="28"/>
          <w14:textFill>
            <w14:solidFill>
              <w14:schemeClr w14:val="tx1"/>
            </w14:solidFill>
          </w14:textFill>
        </w:rPr>
        <w:t>（七）固定资产情况</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_Toc54790331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11</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3"/>
        <w:rPr>
          <w:rFonts w:ascii="仿宋" w:hAnsi="仿宋" w:eastAsia="仿宋" w:cstheme="minorBidi"/>
          <w:b/>
          <w:color w:val="000000" w:themeColor="text1"/>
          <w:kern w:val="2"/>
          <w14:textFill>
            <w14:solidFill>
              <w14:schemeClr w14:val="tx1"/>
            </w14:solidFill>
          </w14:textFill>
        </w:rPr>
      </w:pPr>
      <w:r>
        <w:fldChar w:fldCharType="begin"/>
      </w:r>
      <w:r>
        <w:instrText xml:space="preserve"> HYPERLINK \l "_Toc54790332" </w:instrText>
      </w:r>
      <w:r>
        <w:fldChar w:fldCharType="separate"/>
      </w:r>
      <w:r>
        <w:rPr>
          <w:rStyle w:val="23"/>
          <w:rFonts w:hint="eastAsia" w:ascii="仿宋" w:hAnsi="仿宋" w:eastAsia="仿宋"/>
          <w:b/>
          <w:color w:val="000000" w:themeColor="text1"/>
          <w14:textFill>
            <w14:solidFill>
              <w14:schemeClr w14:val="tx1"/>
            </w14:solidFill>
          </w14:textFill>
        </w:rPr>
        <w:t>二、绩效目标</w:t>
      </w:r>
      <w:r>
        <w:rPr>
          <w:rFonts w:ascii="仿宋" w:hAnsi="仿宋" w:eastAsia="仿宋"/>
          <w:b/>
          <w:color w:val="000000" w:themeColor="text1"/>
          <w14:textFill>
            <w14:solidFill>
              <w14:schemeClr w14:val="tx1"/>
            </w14:solidFill>
          </w14:textFill>
        </w:rPr>
        <w:tab/>
      </w:r>
      <w:r>
        <w:rPr>
          <w:rFonts w:ascii="仿宋" w:hAnsi="仿宋" w:eastAsia="仿宋"/>
          <w:b/>
          <w:color w:val="000000" w:themeColor="text1"/>
          <w14:textFill>
            <w14:solidFill>
              <w14:schemeClr w14:val="tx1"/>
            </w14:solidFill>
          </w14:textFill>
        </w:rPr>
        <w:fldChar w:fldCharType="begin"/>
      </w:r>
      <w:r>
        <w:rPr>
          <w:rFonts w:ascii="仿宋" w:hAnsi="仿宋" w:eastAsia="仿宋"/>
          <w:b/>
          <w:color w:val="000000" w:themeColor="text1"/>
          <w14:textFill>
            <w14:solidFill>
              <w14:schemeClr w14:val="tx1"/>
            </w14:solidFill>
          </w14:textFill>
        </w:rPr>
        <w:instrText xml:space="preserve"> PAGEREF _Toc54790332 \h </w:instrText>
      </w:r>
      <w:r>
        <w:rPr>
          <w:rFonts w:ascii="仿宋" w:hAnsi="仿宋" w:eastAsia="仿宋"/>
          <w:b/>
          <w:color w:val="000000" w:themeColor="text1"/>
          <w14:textFill>
            <w14:solidFill>
              <w14:schemeClr w14:val="tx1"/>
            </w14:solidFill>
          </w14:textFill>
        </w:rPr>
        <w:fldChar w:fldCharType="separate"/>
      </w:r>
      <w:r>
        <w:rPr>
          <w:rFonts w:ascii="仿宋" w:hAnsi="仿宋" w:eastAsia="仿宋"/>
          <w:b/>
          <w:color w:val="000000" w:themeColor="text1"/>
          <w14:textFill>
            <w14:solidFill>
              <w14:schemeClr w14:val="tx1"/>
            </w14:solidFill>
          </w14:textFill>
        </w:rPr>
        <w:t>11</w:t>
      </w:r>
      <w:r>
        <w:rPr>
          <w:rFonts w:ascii="仿宋" w:hAnsi="仿宋" w:eastAsia="仿宋"/>
          <w:b/>
          <w:color w:val="000000" w:themeColor="text1"/>
          <w14:textFill>
            <w14:solidFill>
              <w14:schemeClr w14:val="tx1"/>
            </w14:solidFill>
          </w14:textFill>
        </w:rPr>
        <w:fldChar w:fldCharType="end"/>
      </w:r>
      <w:r>
        <w:rPr>
          <w:rFonts w:ascii="仿宋" w:hAnsi="仿宋" w:eastAsia="仿宋"/>
          <w:b/>
          <w:color w:val="000000" w:themeColor="text1"/>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"_Toc54790333" </w:instrText>
      </w:r>
      <w:r>
        <w:fldChar w:fldCharType="separate"/>
      </w:r>
      <w:r>
        <w:rPr>
          <w:rStyle w:val="23"/>
          <w:rFonts w:hint="eastAsia" w:ascii="仿宋" w:hAnsi="仿宋" w:eastAsia="仿宋"/>
          <w:color w:val="000000" w:themeColor="text1"/>
          <w:sz w:val="28"/>
          <w:szCs w:val="28"/>
          <w14:textFill>
            <w14:solidFill>
              <w14:schemeClr w14:val="tx1"/>
            </w14:solidFill>
          </w14:textFill>
        </w:rPr>
        <w:t>（一）总体目标</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_Toc54790333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11</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"_Toc54790334" </w:instrText>
      </w:r>
      <w:r>
        <w:fldChar w:fldCharType="separate"/>
      </w:r>
      <w:r>
        <w:rPr>
          <w:rStyle w:val="23"/>
          <w:rFonts w:hint="eastAsia" w:ascii="仿宋" w:hAnsi="仿宋" w:eastAsia="仿宋"/>
          <w:color w:val="000000" w:themeColor="text1"/>
          <w:sz w:val="28"/>
          <w:szCs w:val="28"/>
          <w14:textFill>
            <w14:solidFill>
              <w14:schemeClr w14:val="tx1"/>
            </w14:solidFill>
          </w14:textFill>
        </w:rPr>
        <w:t>（二）年度目标</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_Toc54790334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12</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3"/>
        <w:rPr>
          <w:rFonts w:ascii="仿宋" w:hAnsi="仿宋" w:eastAsia="仿宋" w:cstheme="minorBidi"/>
          <w:b/>
          <w:color w:val="000000" w:themeColor="text1"/>
          <w:kern w:val="2"/>
          <w14:textFill>
            <w14:solidFill>
              <w14:schemeClr w14:val="tx1"/>
            </w14:solidFill>
          </w14:textFill>
        </w:rPr>
      </w:pPr>
      <w:r>
        <w:fldChar w:fldCharType="begin"/>
      </w:r>
      <w:r>
        <w:instrText xml:space="preserve"> HYPERLINK \l "_Toc54790335" </w:instrText>
      </w:r>
      <w:r>
        <w:fldChar w:fldCharType="separate"/>
      </w:r>
      <w:r>
        <w:rPr>
          <w:rStyle w:val="23"/>
          <w:rFonts w:hint="eastAsia" w:ascii="仿宋" w:hAnsi="仿宋" w:eastAsia="仿宋"/>
          <w:b/>
          <w:color w:val="000000" w:themeColor="text1"/>
          <w14:textFill>
            <w14:solidFill>
              <w14:schemeClr w14:val="tx1"/>
            </w14:solidFill>
          </w14:textFill>
        </w:rPr>
        <w:t>三、评价思路和过程</w:t>
      </w:r>
      <w:r>
        <w:rPr>
          <w:rFonts w:ascii="仿宋" w:hAnsi="仿宋" w:eastAsia="仿宋"/>
          <w:b/>
          <w:color w:val="000000" w:themeColor="text1"/>
          <w14:textFill>
            <w14:solidFill>
              <w14:schemeClr w14:val="tx1"/>
            </w14:solidFill>
          </w14:textFill>
        </w:rPr>
        <w:tab/>
      </w:r>
      <w:r>
        <w:rPr>
          <w:rFonts w:ascii="仿宋" w:hAnsi="仿宋" w:eastAsia="仿宋"/>
          <w:b/>
          <w:color w:val="000000" w:themeColor="text1"/>
          <w14:textFill>
            <w14:solidFill>
              <w14:schemeClr w14:val="tx1"/>
            </w14:solidFill>
          </w14:textFill>
        </w:rPr>
        <w:fldChar w:fldCharType="begin"/>
      </w:r>
      <w:r>
        <w:rPr>
          <w:rFonts w:ascii="仿宋" w:hAnsi="仿宋" w:eastAsia="仿宋"/>
          <w:b/>
          <w:color w:val="000000" w:themeColor="text1"/>
          <w14:textFill>
            <w14:solidFill>
              <w14:schemeClr w14:val="tx1"/>
            </w14:solidFill>
          </w14:textFill>
        </w:rPr>
        <w:instrText xml:space="preserve"> PAGEREF _Toc54790335 \h </w:instrText>
      </w:r>
      <w:r>
        <w:rPr>
          <w:rFonts w:ascii="仿宋" w:hAnsi="仿宋" w:eastAsia="仿宋"/>
          <w:b/>
          <w:color w:val="000000" w:themeColor="text1"/>
          <w14:textFill>
            <w14:solidFill>
              <w14:schemeClr w14:val="tx1"/>
            </w14:solidFill>
          </w14:textFill>
        </w:rPr>
        <w:fldChar w:fldCharType="separate"/>
      </w:r>
      <w:r>
        <w:rPr>
          <w:rFonts w:ascii="仿宋" w:hAnsi="仿宋" w:eastAsia="仿宋"/>
          <w:b/>
          <w:color w:val="000000" w:themeColor="text1"/>
          <w14:textFill>
            <w14:solidFill>
              <w14:schemeClr w14:val="tx1"/>
            </w14:solidFill>
          </w14:textFill>
        </w:rPr>
        <w:t>15</w:t>
      </w:r>
      <w:r>
        <w:rPr>
          <w:rFonts w:ascii="仿宋" w:hAnsi="仿宋" w:eastAsia="仿宋"/>
          <w:b/>
          <w:color w:val="000000" w:themeColor="text1"/>
          <w14:textFill>
            <w14:solidFill>
              <w14:schemeClr w14:val="tx1"/>
            </w14:solidFill>
          </w14:textFill>
        </w:rPr>
        <w:fldChar w:fldCharType="end"/>
      </w:r>
      <w:r>
        <w:rPr>
          <w:rFonts w:ascii="仿宋" w:hAnsi="仿宋" w:eastAsia="仿宋"/>
          <w:b/>
          <w:color w:val="000000" w:themeColor="text1"/>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"_Toc54790336" </w:instrText>
      </w:r>
      <w:r>
        <w:fldChar w:fldCharType="separate"/>
      </w:r>
      <w:r>
        <w:rPr>
          <w:rStyle w:val="23"/>
          <w:rFonts w:hint="eastAsia" w:ascii="仿宋" w:hAnsi="仿宋" w:eastAsia="仿宋"/>
          <w:color w:val="000000" w:themeColor="text1"/>
          <w:sz w:val="28"/>
          <w:szCs w:val="28"/>
          <w14:textFill>
            <w14:solidFill>
              <w14:schemeClr w14:val="tx1"/>
            </w14:solidFill>
          </w14:textFill>
        </w:rPr>
        <w:t>（一）评价思路</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_Toc54790336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15</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"_Toc54790337" </w:instrText>
      </w:r>
      <w:r>
        <w:fldChar w:fldCharType="separate"/>
      </w:r>
      <w:r>
        <w:rPr>
          <w:rStyle w:val="23"/>
          <w:rFonts w:ascii="仿宋" w:hAnsi="仿宋" w:eastAsia="仿宋"/>
          <w:color w:val="000000" w:themeColor="text1"/>
          <w:sz w:val="28"/>
          <w:szCs w:val="28"/>
          <w14:textFill>
            <w14:solidFill>
              <w14:schemeClr w14:val="tx1"/>
            </w14:solidFill>
          </w14:textFill>
        </w:rPr>
        <w:t>(</w:t>
      </w:r>
      <w:r>
        <w:rPr>
          <w:rStyle w:val="23"/>
          <w:rFonts w:hint="eastAsia" w:ascii="仿宋" w:hAnsi="仿宋" w:eastAsia="仿宋"/>
          <w:color w:val="000000" w:themeColor="text1"/>
          <w:sz w:val="28"/>
          <w:szCs w:val="28"/>
          <w14:textFill>
            <w14:solidFill>
              <w14:schemeClr w14:val="tx1"/>
            </w14:solidFill>
          </w14:textFill>
        </w:rPr>
        <w:t>二</w:t>
      </w:r>
      <w:r>
        <w:rPr>
          <w:rStyle w:val="23"/>
          <w:rFonts w:ascii="仿宋" w:hAnsi="仿宋" w:eastAsia="仿宋"/>
          <w:color w:val="000000" w:themeColor="text1"/>
          <w:sz w:val="28"/>
          <w:szCs w:val="28"/>
          <w14:textFill>
            <w14:solidFill>
              <w14:schemeClr w14:val="tx1"/>
            </w14:solidFill>
          </w14:textFill>
        </w:rPr>
        <w:t>)</w:t>
      </w:r>
      <w:r>
        <w:rPr>
          <w:rStyle w:val="23"/>
          <w:rFonts w:hint="eastAsia" w:ascii="仿宋" w:hAnsi="仿宋" w:eastAsia="仿宋"/>
          <w:color w:val="000000" w:themeColor="text1"/>
          <w:sz w:val="28"/>
          <w:szCs w:val="28"/>
          <w14:textFill>
            <w14:solidFill>
              <w14:schemeClr w14:val="tx1"/>
            </w14:solidFill>
          </w14:textFill>
        </w:rPr>
        <w:t>评价目的</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_Toc54790337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16</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"_Toc54790338" </w:instrText>
      </w:r>
      <w:r>
        <w:fldChar w:fldCharType="separate"/>
      </w:r>
      <w:r>
        <w:rPr>
          <w:rStyle w:val="23"/>
          <w:rFonts w:ascii="仿宋" w:hAnsi="仿宋" w:eastAsia="仿宋"/>
          <w:color w:val="000000" w:themeColor="text1"/>
          <w:sz w:val="28"/>
          <w:szCs w:val="28"/>
          <w14:textFill>
            <w14:solidFill>
              <w14:schemeClr w14:val="tx1"/>
            </w14:solidFill>
          </w14:textFill>
        </w:rPr>
        <w:t>(</w:t>
      </w:r>
      <w:r>
        <w:rPr>
          <w:rStyle w:val="23"/>
          <w:rFonts w:hint="eastAsia" w:ascii="仿宋" w:hAnsi="仿宋" w:eastAsia="仿宋"/>
          <w:color w:val="000000" w:themeColor="text1"/>
          <w:sz w:val="28"/>
          <w:szCs w:val="28"/>
          <w14:textFill>
            <w14:solidFill>
              <w14:schemeClr w14:val="tx1"/>
            </w14:solidFill>
          </w14:textFill>
        </w:rPr>
        <w:t>三</w:t>
      </w:r>
      <w:r>
        <w:rPr>
          <w:rStyle w:val="23"/>
          <w:rFonts w:ascii="仿宋" w:hAnsi="仿宋" w:eastAsia="仿宋"/>
          <w:color w:val="000000" w:themeColor="text1"/>
          <w:sz w:val="28"/>
          <w:szCs w:val="28"/>
          <w14:textFill>
            <w14:solidFill>
              <w14:schemeClr w14:val="tx1"/>
            </w14:solidFill>
          </w14:textFill>
        </w:rPr>
        <w:t>)</w:t>
      </w:r>
      <w:r>
        <w:rPr>
          <w:rStyle w:val="23"/>
          <w:rFonts w:hint="eastAsia" w:ascii="仿宋" w:hAnsi="仿宋" w:eastAsia="仿宋"/>
          <w:color w:val="000000" w:themeColor="text1"/>
          <w:sz w:val="28"/>
          <w:szCs w:val="28"/>
          <w14:textFill>
            <w14:solidFill>
              <w14:schemeClr w14:val="tx1"/>
            </w14:solidFill>
          </w14:textFill>
        </w:rPr>
        <w:t>评价依据</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_Toc54790338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17</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"_Toc54790339" </w:instrText>
      </w:r>
      <w:r>
        <w:fldChar w:fldCharType="separate"/>
      </w:r>
      <w:r>
        <w:rPr>
          <w:rStyle w:val="23"/>
          <w:rFonts w:ascii="仿宋" w:hAnsi="仿宋" w:eastAsia="仿宋"/>
          <w:color w:val="000000" w:themeColor="text1"/>
          <w:sz w:val="28"/>
          <w:szCs w:val="28"/>
          <w14:textFill>
            <w14:solidFill>
              <w14:schemeClr w14:val="tx1"/>
            </w14:solidFill>
          </w14:textFill>
        </w:rPr>
        <w:t>(</w:t>
      </w:r>
      <w:r>
        <w:rPr>
          <w:rStyle w:val="23"/>
          <w:rFonts w:hint="eastAsia" w:ascii="仿宋" w:hAnsi="仿宋" w:eastAsia="仿宋"/>
          <w:color w:val="000000" w:themeColor="text1"/>
          <w:sz w:val="28"/>
          <w:szCs w:val="28"/>
          <w14:textFill>
            <w14:solidFill>
              <w14:schemeClr w14:val="tx1"/>
            </w14:solidFill>
          </w14:textFill>
        </w:rPr>
        <w:t>四</w:t>
      </w:r>
      <w:r>
        <w:rPr>
          <w:rStyle w:val="23"/>
          <w:rFonts w:ascii="仿宋" w:hAnsi="仿宋" w:eastAsia="仿宋"/>
          <w:color w:val="000000" w:themeColor="text1"/>
          <w:sz w:val="28"/>
          <w:szCs w:val="28"/>
          <w14:textFill>
            <w14:solidFill>
              <w14:schemeClr w14:val="tx1"/>
            </w14:solidFill>
          </w14:textFill>
        </w:rPr>
        <w:t>)</w:t>
      </w:r>
      <w:r>
        <w:rPr>
          <w:rStyle w:val="23"/>
          <w:rFonts w:hint="eastAsia" w:ascii="仿宋" w:hAnsi="仿宋" w:eastAsia="仿宋"/>
          <w:color w:val="000000" w:themeColor="text1"/>
          <w:sz w:val="28"/>
          <w:szCs w:val="28"/>
          <w14:textFill>
            <w14:solidFill>
              <w14:schemeClr w14:val="tx1"/>
            </w14:solidFill>
          </w14:textFill>
        </w:rPr>
        <w:t>评价对象及评价时段</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_Toc54790339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17</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3"/>
        <w:rPr>
          <w:rFonts w:ascii="仿宋" w:hAnsi="仿宋" w:eastAsia="仿宋" w:cstheme="minorBidi"/>
          <w:b/>
          <w:color w:val="000000" w:themeColor="text1"/>
          <w:kern w:val="2"/>
          <w14:textFill>
            <w14:solidFill>
              <w14:schemeClr w14:val="tx1"/>
            </w14:solidFill>
          </w14:textFill>
        </w:rPr>
      </w:pPr>
      <w:r>
        <w:fldChar w:fldCharType="begin"/>
      </w:r>
      <w:r>
        <w:instrText xml:space="preserve"> HYPERLINK \l "_Toc54790340" </w:instrText>
      </w:r>
      <w:r>
        <w:fldChar w:fldCharType="separate"/>
      </w:r>
      <w:r>
        <w:rPr>
          <w:rStyle w:val="23"/>
          <w:rFonts w:hint="eastAsia" w:ascii="仿宋" w:hAnsi="仿宋" w:eastAsia="仿宋"/>
          <w:b/>
          <w:color w:val="000000" w:themeColor="text1"/>
          <w14:textFill>
            <w14:solidFill>
              <w14:schemeClr w14:val="tx1"/>
            </w14:solidFill>
          </w14:textFill>
        </w:rPr>
        <w:t>四、评价结论和绩效分析</w:t>
      </w:r>
      <w:r>
        <w:rPr>
          <w:rFonts w:ascii="仿宋" w:hAnsi="仿宋" w:eastAsia="仿宋"/>
          <w:b/>
          <w:color w:val="000000" w:themeColor="text1"/>
          <w14:textFill>
            <w14:solidFill>
              <w14:schemeClr w14:val="tx1"/>
            </w14:solidFill>
          </w14:textFill>
        </w:rPr>
        <w:tab/>
      </w:r>
      <w:r>
        <w:rPr>
          <w:rFonts w:ascii="仿宋" w:hAnsi="仿宋" w:eastAsia="仿宋"/>
          <w:b/>
          <w:color w:val="000000" w:themeColor="text1"/>
          <w14:textFill>
            <w14:solidFill>
              <w14:schemeClr w14:val="tx1"/>
            </w14:solidFill>
          </w14:textFill>
        </w:rPr>
        <w:fldChar w:fldCharType="begin"/>
      </w:r>
      <w:r>
        <w:rPr>
          <w:rFonts w:ascii="仿宋" w:hAnsi="仿宋" w:eastAsia="仿宋"/>
          <w:b/>
          <w:color w:val="000000" w:themeColor="text1"/>
          <w14:textFill>
            <w14:solidFill>
              <w14:schemeClr w14:val="tx1"/>
            </w14:solidFill>
          </w14:textFill>
        </w:rPr>
        <w:instrText xml:space="preserve"> PAGEREF _Toc54790340 \h </w:instrText>
      </w:r>
      <w:r>
        <w:rPr>
          <w:rFonts w:ascii="仿宋" w:hAnsi="仿宋" w:eastAsia="仿宋"/>
          <w:b/>
          <w:color w:val="000000" w:themeColor="text1"/>
          <w14:textFill>
            <w14:solidFill>
              <w14:schemeClr w14:val="tx1"/>
            </w14:solidFill>
          </w14:textFill>
        </w:rPr>
        <w:fldChar w:fldCharType="separate"/>
      </w:r>
      <w:r>
        <w:rPr>
          <w:rFonts w:ascii="仿宋" w:hAnsi="仿宋" w:eastAsia="仿宋"/>
          <w:b/>
          <w:color w:val="000000" w:themeColor="text1"/>
          <w14:textFill>
            <w14:solidFill>
              <w14:schemeClr w14:val="tx1"/>
            </w14:solidFill>
          </w14:textFill>
        </w:rPr>
        <w:t>18</w:t>
      </w:r>
      <w:r>
        <w:rPr>
          <w:rFonts w:ascii="仿宋" w:hAnsi="仿宋" w:eastAsia="仿宋"/>
          <w:b/>
          <w:color w:val="000000" w:themeColor="text1"/>
          <w14:textFill>
            <w14:solidFill>
              <w14:schemeClr w14:val="tx1"/>
            </w14:solidFill>
          </w14:textFill>
        </w:rPr>
        <w:fldChar w:fldCharType="end"/>
      </w:r>
      <w:r>
        <w:rPr>
          <w:rFonts w:ascii="仿宋" w:hAnsi="仿宋" w:eastAsia="仿宋"/>
          <w:b/>
          <w:color w:val="000000" w:themeColor="text1"/>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"_Toc54790341" </w:instrText>
      </w:r>
      <w:r>
        <w:fldChar w:fldCharType="separate"/>
      </w:r>
      <w:r>
        <w:rPr>
          <w:rStyle w:val="23"/>
          <w:rFonts w:hint="eastAsia" w:ascii="仿宋" w:hAnsi="仿宋" w:eastAsia="仿宋"/>
          <w:color w:val="000000" w:themeColor="text1"/>
          <w:sz w:val="28"/>
          <w:szCs w:val="28"/>
          <w14:textFill>
            <w14:solidFill>
              <w14:schemeClr w14:val="tx1"/>
            </w14:solidFill>
          </w14:textFill>
        </w:rPr>
        <w:t>（一）评价结论</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_Toc54790341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18</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"_Toc54790342" </w:instrText>
      </w:r>
      <w:r>
        <w:fldChar w:fldCharType="separate"/>
      </w:r>
      <w:r>
        <w:rPr>
          <w:rStyle w:val="23"/>
          <w:rFonts w:hint="eastAsia" w:ascii="仿宋" w:hAnsi="仿宋" w:eastAsia="仿宋"/>
          <w:color w:val="000000" w:themeColor="text1"/>
          <w:sz w:val="28"/>
          <w:szCs w:val="28"/>
          <w14:textFill>
            <w14:solidFill>
              <w14:schemeClr w14:val="tx1"/>
            </w14:solidFill>
          </w14:textFill>
        </w:rPr>
        <w:t>（二）具体绩效分析</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_Toc54790342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19</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3"/>
        <w:rPr>
          <w:rFonts w:ascii="仿宋" w:hAnsi="仿宋" w:eastAsia="仿宋" w:cstheme="minorBidi"/>
          <w:b/>
          <w:color w:val="000000" w:themeColor="text1"/>
          <w:kern w:val="2"/>
          <w14:textFill>
            <w14:solidFill>
              <w14:schemeClr w14:val="tx1"/>
            </w14:solidFill>
          </w14:textFill>
        </w:rPr>
      </w:pPr>
      <w:r>
        <w:fldChar w:fldCharType="begin"/>
      </w:r>
      <w:r>
        <w:instrText xml:space="preserve"> HYPERLINK \l "_Toc54790343" </w:instrText>
      </w:r>
      <w:r>
        <w:fldChar w:fldCharType="separate"/>
      </w:r>
      <w:r>
        <w:rPr>
          <w:rStyle w:val="23"/>
          <w:rFonts w:hint="eastAsia" w:ascii="仿宋" w:hAnsi="仿宋" w:eastAsia="仿宋"/>
          <w:b/>
          <w:color w:val="000000" w:themeColor="text1"/>
          <w14:textFill>
            <w14:solidFill>
              <w14:schemeClr w14:val="tx1"/>
            </w14:solidFill>
          </w14:textFill>
        </w:rPr>
        <w:t>五、存在的问题</w:t>
      </w:r>
      <w:r>
        <w:rPr>
          <w:rFonts w:ascii="仿宋" w:hAnsi="仿宋" w:eastAsia="仿宋"/>
          <w:b/>
          <w:color w:val="000000" w:themeColor="text1"/>
          <w14:textFill>
            <w14:solidFill>
              <w14:schemeClr w14:val="tx1"/>
            </w14:solidFill>
          </w14:textFill>
        </w:rPr>
        <w:tab/>
      </w:r>
      <w:r>
        <w:rPr>
          <w:rFonts w:ascii="仿宋" w:hAnsi="仿宋" w:eastAsia="仿宋"/>
          <w:b/>
          <w:color w:val="000000" w:themeColor="text1"/>
          <w14:textFill>
            <w14:solidFill>
              <w14:schemeClr w14:val="tx1"/>
            </w14:solidFill>
          </w14:textFill>
        </w:rPr>
        <w:fldChar w:fldCharType="begin"/>
      </w:r>
      <w:r>
        <w:rPr>
          <w:rFonts w:ascii="仿宋" w:hAnsi="仿宋" w:eastAsia="仿宋"/>
          <w:b/>
          <w:color w:val="000000" w:themeColor="text1"/>
          <w14:textFill>
            <w14:solidFill>
              <w14:schemeClr w14:val="tx1"/>
            </w14:solidFill>
          </w14:textFill>
        </w:rPr>
        <w:instrText xml:space="preserve"> PAGEREF _Toc54790343 \h </w:instrText>
      </w:r>
      <w:r>
        <w:rPr>
          <w:rFonts w:ascii="仿宋" w:hAnsi="仿宋" w:eastAsia="仿宋"/>
          <w:b/>
          <w:color w:val="000000" w:themeColor="text1"/>
          <w14:textFill>
            <w14:solidFill>
              <w14:schemeClr w14:val="tx1"/>
            </w14:solidFill>
          </w14:textFill>
        </w:rPr>
        <w:fldChar w:fldCharType="separate"/>
      </w:r>
      <w:r>
        <w:rPr>
          <w:rFonts w:ascii="仿宋" w:hAnsi="仿宋" w:eastAsia="仿宋"/>
          <w:b/>
          <w:color w:val="000000" w:themeColor="text1"/>
          <w14:textFill>
            <w14:solidFill>
              <w14:schemeClr w14:val="tx1"/>
            </w14:solidFill>
          </w14:textFill>
        </w:rPr>
        <w:t>24</w:t>
      </w:r>
      <w:r>
        <w:rPr>
          <w:rFonts w:ascii="仿宋" w:hAnsi="仿宋" w:eastAsia="仿宋"/>
          <w:b/>
          <w:color w:val="000000" w:themeColor="text1"/>
          <w14:textFill>
            <w14:solidFill>
              <w14:schemeClr w14:val="tx1"/>
            </w14:solidFill>
          </w14:textFill>
        </w:rPr>
        <w:fldChar w:fldCharType="end"/>
      </w:r>
      <w:r>
        <w:rPr>
          <w:rFonts w:ascii="仿宋" w:hAnsi="仿宋" w:eastAsia="仿宋"/>
          <w:b/>
          <w:color w:val="000000" w:themeColor="text1"/>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"_Toc54790344" </w:instrText>
      </w:r>
      <w:r>
        <w:fldChar w:fldCharType="separate"/>
      </w:r>
      <w:r>
        <w:rPr>
          <w:rStyle w:val="23"/>
          <w:rFonts w:hint="eastAsia" w:ascii="仿宋" w:hAnsi="仿宋" w:eastAsia="仿宋"/>
          <w:color w:val="000000" w:themeColor="text1"/>
          <w:sz w:val="28"/>
          <w:szCs w:val="28"/>
          <w14:textFill>
            <w14:solidFill>
              <w14:schemeClr w14:val="tx1"/>
            </w14:solidFill>
          </w14:textFill>
        </w:rPr>
        <w:t>（一）单位内控管理制度不够健全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_Toc54790344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24</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"_Toc54790345" </w:instrText>
      </w:r>
      <w:r>
        <w:fldChar w:fldCharType="separate"/>
      </w:r>
      <w:r>
        <w:rPr>
          <w:rStyle w:val="23"/>
          <w:rFonts w:hint="eastAsia" w:ascii="仿宋" w:hAnsi="仿宋" w:eastAsia="仿宋"/>
          <w:color w:val="000000" w:themeColor="text1"/>
          <w:sz w:val="28"/>
          <w:szCs w:val="28"/>
          <w14:textFill>
            <w14:solidFill>
              <w14:schemeClr w14:val="tx1"/>
            </w14:solidFill>
          </w14:textFill>
        </w:rPr>
        <w:t>（二）</w:t>
      </w:r>
      <w:r>
        <w:rPr>
          <w:rStyle w:val="23"/>
          <w:rFonts w:hint="eastAsia" w:ascii="仿宋" w:hAnsi="仿宋" w:eastAsia="仿宋" w:cs="Mongolian Baiti"/>
          <w:color w:val="000000" w:themeColor="text1"/>
          <w:sz w:val="28"/>
          <w:szCs w:val="28"/>
          <w14:textFill>
            <w14:solidFill>
              <w14:schemeClr w14:val="tx1"/>
            </w14:solidFill>
          </w14:textFill>
        </w:rPr>
        <w:t>单位绩效跟踪管理及考核工作</w:t>
      </w:r>
      <w:r>
        <w:rPr>
          <w:rStyle w:val="23"/>
          <w:rFonts w:hint="eastAsia" w:ascii="仿宋" w:hAnsi="仿宋" w:eastAsia="仿宋"/>
          <w:color w:val="000000" w:themeColor="text1"/>
          <w:sz w:val="28"/>
          <w:szCs w:val="28"/>
          <w14:textFill>
            <w14:solidFill>
              <w14:schemeClr w14:val="tx1"/>
            </w14:solidFill>
          </w14:textFill>
        </w:rPr>
        <w:t>待加强</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_Toc54790345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24</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"_Toc54790346" </w:instrText>
      </w:r>
      <w:r>
        <w:fldChar w:fldCharType="separate"/>
      </w:r>
      <w:r>
        <w:rPr>
          <w:rStyle w:val="23"/>
          <w:rFonts w:hint="eastAsia" w:ascii="仿宋" w:hAnsi="仿宋" w:eastAsia="仿宋"/>
          <w:color w:val="000000" w:themeColor="text1"/>
          <w:sz w:val="28"/>
          <w:szCs w:val="28"/>
          <w14:textFill>
            <w14:solidFill>
              <w14:schemeClr w14:val="tx1"/>
            </w14:solidFill>
          </w14:textFill>
        </w:rPr>
        <w:t>（三）资金结转（结余）金额较大，</w:t>
      </w:r>
      <w:r>
        <w:rPr>
          <w:rStyle w:val="23"/>
          <w:rFonts w:hint="eastAsia" w:ascii="仿宋" w:hAnsi="仿宋" w:eastAsia="仿宋" w:cs="Mongolian Baiti"/>
          <w:color w:val="000000" w:themeColor="text1"/>
          <w:sz w:val="28"/>
          <w:szCs w:val="28"/>
          <w14:textFill>
            <w14:solidFill>
              <w14:schemeClr w14:val="tx1"/>
            </w14:solidFill>
          </w14:textFill>
        </w:rPr>
        <w:t>预算执行待加强。</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_Toc54790346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24</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"_Toc54790347" </w:instrText>
      </w:r>
      <w:r>
        <w:fldChar w:fldCharType="separate"/>
      </w:r>
      <w:r>
        <w:rPr>
          <w:rStyle w:val="23"/>
          <w:rFonts w:hint="eastAsia" w:ascii="仿宋" w:hAnsi="仿宋" w:eastAsia="仿宋"/>
          <w:color w:val="000000" w:themeColor="text1"/>
          <w:sz w:val="28"/>
          <w:szCs w:val="28"/>
          <w14:textFill>
            <w14:solidFill>
              <w14:schemeClr w14:val="tx1"/>
            </w14:solidFill>
          </w14:textFill>
        </w:rPr>
        <w:t>（四）</w:t>
      </w:r>
      <w:r>
        <w:rPr>
          <w:rStyle w:val="23"/>
          <w:rFonts w:hint="eastAsia" w:ascii="仿宋" w:hAnsi="仿宋" w:eastAsia="仿宋" w:cs="Mongolian Baiti"/>
          <w:color w:val="000000" w:themeColor="text1"/>
          <w:sz w:val="28"/>
          <w:szCs w:val="28"/>
          <w14:textFill>
            <w14:solidFill>
              <w14:schemeClr w14:val="tx1"/>
            </w14:solidFill>
          </w14:textFill>
        </w:rPr>
        <w:t>政府采购预算管理制度落实不到位</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_Toc54790347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25</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"_Toc54790348" </w:instrText>
      </w:r>
      <w:r>
        <w:fldChar w:fldCharType="separate"/>
      </w:r>
      <w:r>
        <w:rPr>
          <w:rStyle w:val="23"/>
          <w:rFonts w:hint="eastAsia" w:ascii="仿宋" w:hAnsi="仿宋" w:eastAsia="仿宋"/>
          <w:color w:val="000000" w:themeColor="text1"/>
          <w:sz w:val="28"/>
          <w:szCs w:val="28"/>
          <w14:textFill>
            <w14:solidFill>
              <w14:schemeClr w14:val="tx1"/>
            </w14:solidFill>
          </w14:textFill>
        </w:rPr>
        <w:t>（五）资产管理工作执行不到位</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_Toc54790348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25</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"_Toc54790349" </w:instrText>
      </w:r>
      <w:r>
        <w:fldChar w:fldCharType="separate"/>
      </w:r>
      <w:r>
        <w:rPr>
          <w:rStyle w:val="23"/>
          <w:rFonts w:hint="eastAsia" w:ascii="仿宋" w:hAnsi="仿宋" w:eastAsia="仿宋"/>
          <w:color w:val="000000" w:themeColor="text1"/>
          <w:sz w:val="28"/>
          <w:szCs w:val="28"/>
          <w14:textFill>
            <w14:solidFill>
              <w14:schemeClr w14:val="tx1"/>
            </w14:solidFill>
          </w14:textFill>
        </w:rPr>
        <w:t>（六）未按规定对入园企业中已长期停产、待建的单位进行清退</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_Toc54790349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25</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3"/>
        <w:rPr>
          <w:rFonts w:ascii="仿宋" w:hAnsi="仿宋" w:eastAsia="仿宋" w:cstheme="minorBidi"/>
          <w:b/>
          <w:color w:val="000000" w:themeColor="text1"/>
          <w:kern w:val="2"/>
          <w14:textFill>
            <w14:solidFill>
              <w14:schemeClr w14:val="tx1"/>
            </w14:solidFill>
          </w14:textFill>
        </w:rPr>
      </w:pPr>
      <w:r>
        <w:fldChar w:fldCharType="begin"/>
      </w:r>
      <w:r>
        <w:instrText xml:space="preserve"> HYPERLINK \l "_Toc54790350" </w:instrText>
      </w:r>
      <w:r>
        <w:fldChar w:fldCharType="separate"/>
      </w:r>
      <w:r>
        <w:rPr>
          <w:rStyle w:val="23"/>
          <w:rFonts w:hint="eastAsia" w:ascii="仿宋" w:hAnsi="仿宋" w:eastAsia="仿宋"/>
          <w:b/>
          <w:color w:val="000000" w:themeColor="text1"/>
          <w14:textFill>
            <w14:solidFill>
              <w14:schemeClr w14:val="tx1"/>
            </w14:solidFill>
          </w14:textFill>
        </w:rPr>
        <w:t>六、改进措施和建议</w:t>
      </w:r>
      <w:r>
        <w:rPr>
          <w:rFonts w:ascii="仿宋" w:hAnsi="仿宋" w:eastAsia="仿宋"/>
          <w:b/>
          <w:color w:val="000000" w:themeColor="text1"/>
          <w14:textFill>
            <w14:solidFill>
              <w14:schemeClr w14:val="tx1"/>
            </w14:solidFill>
          </w14:textFill>
        </w:rPr>
        <w:tab/>
      </w:r>
      <w:r>
        <w:rPr>
          <w:rFonts w:ascii="仿宋" w:hAnsi="仿宋" w:eastAsia="仿宋"/>
          <w:b/>
          <w:color w:val="000000" w:themeColor="text1"/>
          <w14:textFill>
            <w14:solidFill>
              <w14:schemeClr w14:val="tx1"/>
            </w14:solidFill>
          </w14:textFill>
        </w:rPr>
        <w:fldChar w:fldCharType="begin"/>
      </w:r>
      <w:r>
        <w:rPr>
          <w:rFonts w:ascii="仿宋" w:hAnsi="仿宋" w:eastAsia="仿宋"/>
          <w:b/>
          <w:color w:val="000000" w:themeColor="text1"/>
          <w14:textFill>
            <w14:solidFill>
              <w14:schemeClr w14:val="tx1"/>
            </w14:solidFill>
          </w14:textFill>
        </w:rPr>
        <w:instrText xml:space="preserve"> PAGEREF _Toc54790350 \h </w:instrText>
      </w:r>
      <w:r>
        <w:rPr>
          <w:rFonts w:ascii="仿宋" w:hAnsi="仿宋" w:eastAsia="仿宋"/>
          <w:b/>
          <w:color w:val="000000" w:themeColor="text1"/>
          <w14:textFill>
            <w14:solidFill>
              <w14:schemeClr w14:val="tx1"/>
            </w14:solidFill>
          </w14:textFill>
        </w:rPr>
        <w:fldChar w:fldCharType="separate"/>
      </w:r>
      <w:r>
        <w:rPr>
          <w:rFonts w:ascii="仿宋" w:hAnsi="仿宋" w:eastAsia="仿宋"/>
          <w:b/>
          <w:color w:val="000000" w:themeColor="text1"/>
          <w14:textFill>
            <w14:solidFill>
              <w14:schemeClr w14:val="tx1"/>
            </w14:solidFill>
          </w14:textFill>
        </w:rPr>
        <w:t>25</w:t>
      </w:r>
      <w:r>
        <w:rPr>
          <w:rFonts w:ascii="仿宋" w:hAnsi="仿宋" w:eastAsia="仿宋"/>
          <w:b/>
          <w:color w:val="000000" w:themeColor="text1"/>
          <w14:textFill>
            <w14:solidFill>
              <w14:schemeClr w14:val="tx1"/>
            </w14:solidFill>
          </w14:textFill>
        </w:rPr>
        <w:fldChar w:fldCharType="end"/>
      </w:r>
      <w:r>
        <w:rPr>
          <w:rFonts w:ascii="仿宋" w:hAnsi="仿宋" w:eastAsia="仿宋"/>
          <w:b/>
          <w:color w:val="000000" w:themeColor="text1"/>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"_Toc54790351" </w:instrText>
      </w:r>
      <w:r>
        <w:fldChar w:fldCharType="separate"/>
      </w:r>
      <w:r>
        <w:rPr>
          <w:rStyle w:val="23"/>
          <w:rFonts w:hint="eastAsia" w:ascii="仿宋" w:hAnsi="仿宋" w:eastAsia="仿宋"/>
          <w:color w:val="000000" w:themeColor="text1"/>
          <w:sz w:val="28"/>
          <w:szCs w:val="28"/>
          <w14:textFill>
            <w14:solidFill>
              <w14:schemeClr w14:val="tx1"/>
            </w14:solidFill>
          </w14:textFill>
        </w:rPr>
        <w:t>（一）进一步建立健全内控制度</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_Toc54790351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25</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"_Toc54790352" </w:instrText>
      </w:r>
      <w:r>
        <w:fldChar w:fldCharType="separate"/>
      </w:r>
      <w:r>
        <w:rPr>
          <w:rStyle w:val="23"/>
          <w:rFonts w:hint="eastAsia" w:ascii="仿宋" w:hAnsi="仿宋" w:eastAsia="仿宋"/>
          <w:color w:val="000000" w:themeColor="text1"/>
          <w:sz w:val="28"/>
          <w:szCs w:val="28"/>
          <w14:textFill>
            <w14:solidFill>
              <w14:schemeClr w14:val="tx1"/>
            </w14:solidFill>
          </w14:textFill>
        </w:rPr>
        <w:t>（二）加强绩效跟踪管理及考核工作</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_Toc54790352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26</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"_Toc54790353" </w:instrText>
      </w:r>
      <w:r>
        <w:fldChar w:fldCharType="separate"/>
      </w:r>
      <w:r>
        <w:rPr>
          <w:rStyle w:val="23"/>
          <w:rFonts w:hint="eastAsia" w:ascii="仿宋" w:hAnsi="仿宋" w:eastAsia="仿宋"/>
          <w:color w:val="000000" w:themeColor="text1"/>
          <w:sz w:val="28"/>
          <w:szCs w:val="28"/>
          <w14:textFill>
            <w14:solidFill>
              <w14:schemeClr w14:val="tx1"/>
            </w14:solidFill>
          </w14:textFill>
        </w:rPr>
        <w:t>（三）加强预算执行力度，提高资金使用效益</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_Toc54790353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26</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"_Toc54790354" </w:instrText>
      </w:r>
      <w:r>
        <w:fldChar w:fldCharType="separate"/>
      </w:r>
      <w:r>
        <w:rPr>
          <w:rStyle w:val="23"/>
          <w:rFonts w:hint="eastAsia" w:ascii="仿宋" w:hAnsi="仿宋" w:eastAsia="仿宋"/>
          <w:color w:val="000000" w:themeColor="text1"/>
          <w:sz w:val="28"/>
          <w:szCs w:val="28"/>
          <w14:textFill>
            <w14:solidFill>
              <w14:schemeClr w14:val="tx1"/>
            </w14:solidFill>
          </w14:textFill>
        </w:rPr>
        <w:t>（四）加强政府采购管理及资产管理工作</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_Toc54790354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26</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"_Toc54790355" </w:instrText>
      </w:r>
      <w:r>
        <w:fldChar w:fldCharType="separate"/>
      </w:r>
      <w:r>
        <w:rPr>
          <w:rStyle w:val="23"/>
          <w:rFonts w:hint="eastAsia" w:ascii="仿宋" w:hAnsi="仿宋" w:eastAsia="仿宋"/>
          <w:color w:val="000000" w:themeColor="text1"/>
          <w:sz w:val="28"/>
          <w:szCs w:val="28"/>
          <w14:textFill>
            <w14:solidFill>
              <w14:schemeClr w14:val="tx1"/>
            </w14:solidFill>
          </w14:textFill>
        </w:rPr>
        <w:t>（五）加强资产管理工作</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_Toc54790355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26</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4"/>
        <w:rPr>
          <w:rFonts w:ascii="仿宋" w:hAnsi="仿宋" w:eastAsia="仿宋" w:cstheme="minorBidi"/>
          <w:color w:val="000000" w:themeColor="text1"/>
          <w:sz w:val="28"/>
          <w:szCs w:val="28"/>
          <w14:textFill>
            <w14:solidFill>
              <w14:schemeClr w14:val="tx1"/>
            </w14:solidFill>
          </w14:textFill>
        </w:rPr>
      </w:pPr>
      <w:r>
        <w:fldChar w:fldCharType="begin"/>
      </w:r>
      <w:r>
        <w:instrText xml:space="preserve"> HYPERLINK \l "_Toc54790356" </w:instrText>
      </w:r>
      <w:r>
        <w:fldChar w:fldCharType="separate"/>
      </w:r>
      <w:r>
        <w:rPr>
          <w:rStyle w:val="23"/>
          <w:rFonts w:hint="eastAsia" w:ascii="仿宋" w:hAnsi="仿宋" w:eastAsia="仿宋"/>
          <w:color w:val="000000" w:themeColor="text1"/>
          <w:sz w:val="28"/>
          <w:szCs w:val="28"/>
          <w14:textFill>
            <w14:solidFill>
              <w14:schemeClr w14:val="tx1"/>
            </w14:solidFill>
          </w14:textFill>
        </w:rPr>
        <w:t>（六）加强入园企业的管理</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_Toc54790356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27</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spacing w:line="600" w:lineRule="exact"/>
        <w:jc w:val="center"/>
        <w:rPr>
          <w:rFonts w:ascii="仿宋" w:hAnsi="仿宋" w:eastAsia="仿宋"/>
          <w:b/>
          <w:color w:val="FF0000"/>
          <w:kern w:val="0"/>
          <w:sz w:val="32"/>
          <w:szCs w:val="32"/>
        </w:rPr>
      </w:pPr>
      <w:r>
        <w:rPr>
          <w:rFonts w:ascii="仿宋" w:hAnsi="仿宋" w:eastAsia="仿宋"/>
          <w:color w:val="000000" w:themeColor="text1"/>
          <w:kern w:val="0"/>
          <w:sz w:val="28"/>
          <w:szCs w:val="28"/>
          <w14:textFill>
            <w14:solidFill>
              <w14:schemeClr w14:val="tx1"/>
            </w14:solidFill>
          </w14:textFill>
        </w:rPr>
        <w:fldChar w:fldCharType="end"/>
      </w:r>
    </w:p>
    <w:p>
      <w:pPr>
        <w:spacing w:line="800" w:lineRule="exact"/>
        <w:ind w:firstLine="660" w:firstLineChars="150"/>
        <w:jc w:val="center"/>
        <w:rPr>
          <w:rFonts w:ascii="宋体" w:hAnsi="宋体"/>
          <w:color w:val="FF0000"/>
          <w:kern w:val="0"/>
          <w:sz w:val="44"/>
          <w:szCs w:val="44"/>
        </w:rPr>
        <w:sectPr>
          <w:footerReference r:id="rId6" w:type="default"/>
          <w:pgSz w:w="11906" w:h="16838"/>
          <w:pgMar w:top="1440" w:right="1797" w:bottom="1440" w:left="1797" w:header="851" w:footer="1157" w:gutter="0"/>
          <w:pgNumType w:start="1"/>
          <w:cols w:space="425" w:num="1"/>
          <w:docGrid w:type="lines" w:linePitch="312" w:charSpace="0"/>
        </w:sectPr>
      </w:pPr>
    </w:p>
    <w:p>
      <w:pPr>
        <w:spacing w:line="800" w:lineRule="exact"/>
        <w:jc w:val="center"/>
        <w:rPr>
          <w:rFonts w:cs="方正小标宋_GBK" w:asciiTheme="minorEastAsia" w:hAnsiTheme="minorEastAsia" w:eastAsiaTheme="minorEastAsia"/>
          <w:b/>
          <w:bCs/>
          <w:color w:val="000000"/>
          <w:kern w:val="0"/>
          <w:sz w:val="44"/>
          <w:szCs w:val="44"/>
        </w:rPr>
      </w:pPr>
      <w:r>
        <w:rPr>
          <w:rFonts w:hint="eastAsia" w:cs="方正小标宋_GBK" w:asciiTheme="minorEastAsia" w:hAnsiTheme="minorEastAsia" w:eastAsiaTheme="minorEastAsia"/>
          <w:b/>
          <w:bCs/>
          <w:color w:val="000000"/>
          <w:kern w:val="0"/>
          <w:sz w:val="44"/>
          <w:szCs w:val="44"/>
        </w:rPr>
        <w:t>勐海工业园区管理委员会</w:t>
      </w:r>
    </w:p>
    <w:p>
      <w:pPr>
        <w:spacing w:line="800" w:lineRule="exact"/>
        <w:ind w:firstLine="663" w:firstLineChars="150"/>
        <w:jc w:val="center"/>
        <w:rPr>
          <w:rFonts w:cs="方正小标宋_GBK" w:asciiTheme="minorEastAsia" w:hAnsiTheme="minorEastAsia" w:eastAsiaTheme="minorEastAsia"/>
          <w:b/>
          <w:bCs/>
          <w:color w:val="000000"/>
          <w:kern w:val="0"/>
          <w:sz w:val="44"/>
          <w:szCs w:val="44"/>
        </w:rPr>
      </w:pPr>
      <w:r>
        <w:rPr>
          <w:rFonts w:hint="eastAsia" w:cs="方正小标宋_GBK" w:asciiTheme="minorEastAsia" w:hAnsiTheme="minorEastAsia" w:eastAsiaTheme="minorEastAsia"/>
          <w:b/>
          <w:bCs/>
          <w:color w:val="000000"/>
          <w:kern w:val="0"/>
          <w:sz w:val="44"/>
          <w:szCs w:val="44"/>
        </w:rPr>
        <w:t>2019年度部门整体支出</w:t>
      </w:r>
      <w:r>
        <w:rPr>
          <w:rFonts w:hint="eastAsia" w:cs="方正小标宋_GBK" w:asciiTheme="minorEastAsia" w:hAnsiTheme="minorEastAsia" w:eastAsiaTheme="minorEastAsia"/>
          <w:b/>
          <w:bCs/>
          <w:kern w:val="0"/>
          <w:sz w:val="44"/>
          <w:szCs w:val="44"/>
        </w:rPr>
        <w:t>绩效评价报告</w:t>
      </w:r>
    </w:p>
    <w:p>
      <w:pPr>
        <w:spacing w:line="360" w:lineRule="auto"/>
        <w:ind w:firstLine="883" w:firstLineChars="200"/>
        <w:jc w:val="left"/>
        <w:rPr>
          <w:rStyle w:val="43"/>
          <w:rFonts w:hint="default" w:hAnsi="仿宋_GB2312"/>
          <w:b/>
          <w:sz w:val="44"/>
          <w:szCs w:val="44"/>
        </w:rPr>
      </w:pPr>
    </w:p>
    <w:p>
      <w:pPr>
        <w:spacing w:line="560" w:lineRule="exact"/>
        <w:ind w:firstLine="640" w:firstLineChars="200"/>
        <w:rPr>
          <w:rStyle w:val="43"/>
          <w:rFonts w:hint="default" w:hAnsi="Mongolian Baiti" w:cs="Mongolian Baiti"/>
          <w:szCs w:val="32"/>
        </w:rPr>
      </w:pPr>
      <w:r>
        <w:rPr>
          <w:rStyle w:val="43"/>
          <w:rFonts w:hint="default" w:hAnsi="Mongolian Baiti" w:cs="Mongolian Baiti"/>
          <w:szCs w:val="32"/>
        </w:rPr>
        <w:t>根据《中华人民共和国预算法》规定,按照《勐海县财政预算绩效管理暂行办法》（海财绩字〔2016〕16号）、</w:t>
      </w:r>
      <w:r>
        <w:rPr>
          <w:rFonts w:hint="eastAsia" w:ascii="仿宋_GB2312" w:hAnsi="仿宋" w:eastAsia="仿宋_GB2312"/>
          <w:color w:val="000000"/>
          <w:sz w:val="32"/>
          <w:szCs w:val="32"/>
        </w:rPr>
        <w:t>《勐海县财政局关于开展2019年度县本级财政项目支出财政评价的通知》（海财绩字〔2020〕8号）的要求，2020年8月25日至10月10日，</w:t>
      </w:r>
      <w:r>
        <w:rPr>
          <w:rStyle w:val="43"/>
          <w:rFonts w:hint="default" w:hAnsi="Mongolian Baiti" w:cs="Mongolian Baiti"/>
          <w:szCs w:val="32"/>
        </w:rPr>
        <w:t>受勐海县财政局委托，云南信立会计师事务所有限公司对勐海工业园区管理委员会2019年度部门整体支出进行绩效评价。现将评价过程及结果报告如下：</w:t>
      </w:r>
    </w:p>
    <w:p>
      <w:pPr>
        <w:pStyle w:val="3"/>
        <w:spacing w:before="0" w:after="0" w:line="600" w:lineRule="exact"/>
        <w:ind w:firstLine="643" w:firstLineChars="200"/>
        <w:rPr>
          <w:rFonts w:ascii="黑体" w:hAnsi="黑体" w:eastAsia="黑体"/>
          <w:color w:val="000000"/>
          <w:sz w:val="32"/>
          <w:szCs w:val="32"/>
        </w:rPr>
      </w:pPr>
      <w:bookmarkStart w:id="0" w:name="_Toc25733398"/>
      <w:bookmarkStart w:id="1" w:name="_Toc54790324"/>
      <w:r>
        <w:rPr>
          <w:rFonts w:ascii="黑体" w:hAnsi="黑体" w:eastAsia="黑体"/>
          <w:color w:val="000000"/>
          <w:sz w:val="32"/>
          <w:szCs w:val="32"/>
        </w:rPr>
        <w:t>一、部门</w:t>
      </w:r>
      <w:bookmarkEnd w:id="0"/>
      <w:r>
        <w:rPr>
          <w:rFonts w:hint="eastAsia" w:ascii="黑体" w:hAnsi="黑体" w:eastAsia="黑体"/>
          <w:color w:val="000000"/>
          <w:sz w:val="32"/>
          <w:szCs w:val="32"/>
        </w:rPr>
        <w:t>基本情况</w:t>
      </w:r>
      <w:bookmarkEnd w:id="1"/>
    </w:p>
    <w:p>
      <w:pPr>
        <w:pStyle w:val="4"/>
        <w:spacing w:before="0" w:after="0" w:line="360" w:lineRule="auto"/>
        <w:ind w:firstLine="643" w:firstLineChars="200"/>
        <w:rPr>
          <w:rFonts w:ascii="楷体_GB2312" w:hAnsi="华文楷体" w:eastAsia="楷体_GB2312" w:cs="Times New Roman"/>
          <w:color w:val="000000"/>
        </w:rPr>
      </w:pPr>
      <w:bookmarkStart w:id="2" w:name="_Toc25733399"/>
      <w:bookmarkStart w:id="3" w:name="_Toc54790325"/>
      <w:r>
        <w:rPr>
          <w:rFonts w:ascii="楷体_GB2312" w:hAnsi="华文楷体" w:eastAsia="楷体_GB2312" w:cs="Times New Roman"/>
          <w:color w:val="000000"/>
        </w:rPr>
        <w:t>（一）</w:t>
      </w:r>
      <w:bookmarkEnd w:id="2"/>
      <w:r>
        <w:rPr>
          <w:rFonts w:ascii="楷体_GB2312" w:eastAsia="楷体_GB2312" w:cs="Times New Roman"/>
          <w:color w:val="000000"/>
        </w:rPr>
        <w:t>部门机构设置及编制</w:t>
      </w:r>
      <w:bookmarkEnd w:id="3"/>
    </w:p>
    <w:p>
      <w:pPr>
        <w:spacing w:line="560" w:lineRule="exact"/>
        <w:ind w:firstLine="640" w:firstLineChars="200"/>
        <w:rPr>
          <w:rStyle w:val="43"/>
          <w:rFonts w:hint="default" w:hAnsi="Mongolian Baiti" w:cs="Mongolian Baiti"/>
          <w:color w:val="FF0000"/>
          <w:szCs w:val="32"/>
        </w:rPr>
      </w:pPr>
      <w:r>
        <w:rPr>
          <w:rStyle w:val="43"/>
          <w:rFonts w:hint="default" w:hAnsi="Mongolian Baiti" w:cs="Mongolian Baiti"/>
          <w:szCs w:val="32"/>
        </w:rPr>
        <w:t>根据《中共勐海县委办公室 勐海县人民政府办公室关于印发&lt;勐海县人民政府机构改革实施方案&gt;的通知》（海办法〔2010〕37号）文件精神，勐海工业园区管理委员会是县委、县人民政府派出机构，正科级。内设办公室、规划建设股、经济发展股3个机构。单位核定事业编制9名，截止2019年12月31日实有人数11名，其中：编制内人员5名、临聘6名。</w:t>
      </w:r>
    </w:p>
    <w:p>
      <w:pPr>
        <w:pStyle w:val="4"/>
        <w:spacing w:before="0" w:after="0" w:line="360" w:lineRule="auto"/>
        <w:ind w:firstLine="643" w:firstLineChars="200"/>
        <w:rPr>
          <w:rFonts w:ascii="楷体_GB2312" w:hAnsi="华文楷体" w:eastAsia="楷体_GB2312" w:cs="Times New Roman"/>
          <w:color w:val="000000"/>
        </w:rPr>
      </w:pPr>
      <w:bookmarkStart w:id="4" w:name="_Toc54790326"/>
      <w:r>
        <w:rPr>
          <w:rFonts w:hint="eastAsia" w:ascii="楷体_GB2312" w:hAnsi="华文楷体" w:eastAsia="楷体_GB2312" w:cs="Times New Roman"/>
          <w:color w:val="000000"/>
        </w:rPr>
        <w:t>（二）</w:t>
      </w:r>
      <w:r>
        <w:rPr>
          <w:rFonts w:ascii="楷体_GB2312" w:hAnsi="华文楷体" w:eastAsia="楷体_GB2312" w:cs="Times New Roman"/>
          <w:color w:val="000000"/>
        </w:rPr>
        <w:t>部门职能</w:t>
      </w:r>
      <w:bookmarkEnd w:id="4"/>
    </w:p>
    <w:p>
      <w:pPr>
        <w:spacing w:line="560" w:lineRule="exact"/>
        <w:ind w:firstLine="640" w:firstLineChars="200"/>
        <w:rPr>
          <w:rStyle w:val="43"/>
          <w:rFonts w:hint="default" w:hAnsi="Mongolian Baiti" w:cs="Mongolian Baiti"/>
          <w:szCs w:val="32"/>
        </w:rPr>
      </w:pPr>
      <w:bookmarkStart w:id="5" w:name="_Toc423426177"/>
      <w:r>
        <w:rPr>
          <w:rStyle w:val="43"/>
          <w:rFonts w:hint="default" w:hAnsi="Mongolian Baiti" w:cs="Mongolian Baiti"/>
          <w:szCs w:val="32"/>
        </w:rPr>
        <w:t>勐海工业园区管理委员会作为勐海县人民政府工作部门主要职责为：</w:t>
      </w:r>
    </w:p>
    <w:p>
      <w:pPr>
        <w:spacing w:line="560" w:lineRule="exact"/>
        <w:ind w:firstLine="640" w:firstLineChars="200"/>
        <w:rPr>
          <w:rStyle w:val="43"/>
          <w:rFonts w:hint="default" w:hAnsi="Mongolian Baiti" w:cs="Mongolian Baiti"/>
          <w:szCs w:val="32"/>
        </w:rPr>
      </w:pPr>
      <w:r>
        <w:rPr>
          <w:rStyle w:val="43"/>
          <w:rFonts w:hint="default" w:hAnsi="Mongolian Baiti" w:cs="Mongolian Baiti"/>
          <w:szCs w:val="32"/>
        </w:rPr>
        <w:t>（1）贯彻执行国家、省、州关于工业园区的各项方针、政策，落实县委、县人民政府的指示和决定，制定工业园区发展计划和工作目标，经批准后实施。</w:t>
      </w:r>
    </w:p>
    <w:p>
      <w:pPr>
        <w:spacing w:line="560" w:lineRule="exact"/>
        <w:ind w:firstLine="640" w:firstLineChars="200"/>
        <w:rPr>
          <w:rStyle w:val="43"/>
          <w:rFonts w:hint="default" w:hAnsi="Mongolian Baiti" w:cs="Mongolian Baiti"/>
          <w:szCs w:val="32"/>
        </w:rPr>
      </w:pPr>
      <w:r>
        <w:rPr>
          <w:rStyle w:val="43"/>
          <w:rFonts w:hint="default" w:hAnsi="Mongolian Baiti" w:cs="Mongolian Baiti"/>
          <w:szCs w:val="32"/>
        </w:rPr>
        <w:t>（2）根据工业园区土地利用总体规划，负责编制园区分区规划和详细规划，实施区内规划监督管理；负责片区内基础设施建设与管理；协调开发中的有关问题。</w:t>
      </w:r>
    </w:p>
    <w:p>
      <w:pPr>
        <w:spacing w:line="560" w:lineRule="exact"/>
        <w:ind w:firstLine="640" w:firstLineChars="200"/>
        <w:rPr>
          <w:rStyle w:val="43"/>
          <w:rFonts w:hint="default" w:hAnsi="Mongolian Baiti" w:cs="Mongolian Baiti"/>
          <w:szCs w:val="32"/>
        </w:rPr>
      </w:pPr>
      <w:r>
        <w:rPr>
          <w:rStyle w:val="43"/>
          <w:rFonts w:hint="default" w:hAnsi="Mongolian Baiti" w:cs="Mongolian Baiti"/>
          <w:szCs w:val="32"/>
        </w:rPr>
        <w:t>（3）负责工业园区范围内的土地和其他自然资源开发利用、管理、环境保护工作；负责工业园区范围内国有土地使用权出租、转让、划拨、抵押、出让、登记等手续的申报和管理工作。</w:t>
      </w:r>
    </w:p>
    <w:p>
      <w:pPr>
        <w:spacing w:line="560" w:lineRule="exact"/>
        <w:ind w:firstLine="640" w:firstLineChars="200"/>
        <w:rPr>
          <w:rStyle w:val="43"/>
          <w:rFonts w:hint="default" w:hAnsi="Mongolian Baiti" w:cs="Mongolian Baiti"/>
          <w:szCs w:val="32"/>
        </w:rPr>
      </w:pPr>
      <w:r>
        <w:rPr>
          <w:rStyle w:val="43"/>
          <w:rFonts w:hint="default" w:hAnsi="Mongolian Baiti" w:cs="Mongolian Baiti"/>
          <w:szCs w:val="32"/>
        </w:rPr>
        <w:t>（4）负责工业园区的对外宣传和招商引资工作，按规定权限和程序做好工业园区各投资项目的洽谈、审核、申报、统计等工作。</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（5）对园区企业进行宏观指导、管理和协调，积极做好园区企业的产前、产中、产后服务。</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（6）做好签约项目、意向项目的跟踪服务，创造良好的招商引资发展环境。</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（7）负责同县政府有关职能部门一起做好园区内教育、金融、保险、医疗、安全生产、工商行政、社会治安、劳动人事、节能减排、环境保护等方面的管理工作。</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（8）负责本园区内行政文件的起草、发放、上报等工作。</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（9）行使县人民政府和其它有关职能部门依法授予的职能。</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（10）承办县委、县人民政府交办的其他工作。</w:t>
      </w:r>
    </w:p>
    <w:p>
      <w:pPr>
        <w:pStyle w:val="4"/>
        <w:spacing w:before="0" w:after="0" w:line="360" w:lineRule="auto"/>
        <w:ind w:firstLine="643" w:firstLineChars="200"/>
        <w:rPr>
          <w:rFonts w:ascii="楷体_GB2312" w:hAnsi="华文楷体" w:eastAsia="楷体_GB2312" w:cs="Times New Roman"/>
          <w:color w:val="000000"/>
        </w:rPr>
      </w:pPr>
      <w:bookmarkStart w:id="6" w:name="_Toc54790327"/>
      <w:r>
        <w:rPr>
          <w:rFonts w:hint="eastAsia" w:ascii="楷体_GB2312" w:hAnsi="华文楷体" w:eastAsia="楷体_GB2312" w:cs="Times New Roman"/>
          <w:color w:val="000000"/>
        </w:rPr>
        <w:t>（三）</w:t>
      </w:r>
      <w:r>
        <w:rPr>
          <w:rFonts w:ascii="楷体_GB2312" w:hAnsi="华文楷体" w:eastAsia="楷体_GB2312" w:cs="Times New Roman"/>
          <w:color w:val="000000"/>
        </w:rPr>
        <w:t>部门</w:t>
      </w:r>
      <w:r>
        <w:rPr>
          <w:rFonts w:hint="eastAsia" w:ascii="楷体_GB2312" w:hAnsi="华文楷体" w:eastAsia="楷体_GB2312" w:cs="Times New Roman"/>
          <w:color w:val="000000"/>
        </w:rPr>
        <w:t>2019年工作</w:t>
      </w:r>
      <w:r>
        <w:rPr>
          <w:rFonts w:ascii="楷体_GB2312" w:hAnsi="华文楷体" w:eastAsia="楷体_GB2312" w:cs="Times New Roman"/>
          <w:color w:val="000000"/>
        </w:rPr>
        <w:t>完成情况</w:t>
      </w:r>
      <w:bookmarkEnd w:id="6"/>
    </w:p>
    <w:p>
      <w:pPr>
        <w:widowControl/>
        <w:spacing w:line="600" w:lineRule="exact"/>
        <w:ind w:firstLine="640" w:firstLineChars="200"/>
        <w:jc w:val="left"/>
        <w:rPr>
          <w:rStyle w:val="43"/>
          <w:rFonts w:hint="default" w:hAnsi="Mongolian Baiti" w:cs="Mongolian Baiti"/>
        </w:rPr>
      </w:pPr>
      <w:r>
        <w:rPr>
          <w:rStyle w:val="43"/>
          <w:rFonts w:hint="default" w:hAnsi="Mongolian Baiti" w:cs="Mongolian Baiti"/>
        </w:rPr>
        <w:t>1.2019年主要经济指标稳步增长。2019年完成工业总产值43亿元，同比上年36.69亿元增长17.2%（其中规上工业总产值40亿元）；规上工业增加值18.7亿元，同比上年14.91亿元增长25.42%；主营业务收入28亿元，同比上年27.45亿元增长2%；固定资产投资3亿元，同比上年1.8亿元增长66.67%；利税总额11亿元，同比上年10.86亿元增长1.29%。</w:t>
      </w:r>
    </w:p>
    <w:p>
      <w:pPr>
        <w:widowControl/>
        <w:spacing w:line="600" w:lineRule="exact"/>
        <w:ind w:firstLine="640" w:firstLineChars="200"/>
        <w:jc w:val="left"/>
        <w:rPr>
          <w:rStyle w:val="43"/>
          <w:rFonts w:hint="default" w:hAnsi="Mongolian Baiti" w:cs="Mongolian Baiti"/>
        </w:rPr>
      </w:pPr>
      <w:r>
        <w:rPr>
          <w:rStyle w:val="43"/>
          <w:rFonts w:hint="default" w:hAnsi="Mongolian Baiti" w:cs="Mongolian Baiti"/>
        </w:rPr>
        <w:t xml:space="preserve">2.项目建设有序推进。园区管委会以项目建设为抓手，不断夯实发展后劲。一是家英、福今、康悦、戈二老班章、六臻、濮印、汇聚圆、中合昌、金沙、广隆等10个企业项目土地已摘牌。二是晋德、华熙、福安隆、福今、隆溪、杨聘号、合和昌等7个茶业企业建设项目相继动工。三是今大福生态茶业有限公司投资2.7亿元建成了生态茶叶生产加工建设项目，建筑面积37542㎡，年内已建成投产。                                  </w:t>
      </w:r>
    </w:p>
    <w:p>
      <w:pPr>
        <w:widowControl/>
        <w:spacing w:line="600" w:lineRule="exact"/>
        <w:ind w:firstLine="640" w:firstLineChars="200"/>
        <w:jc w:val="left"/>
        <w:rPr>
          <w:rStyle w:val="43"/>
          <w:rFonts w:hint="default" w:hAnsi="Mongolian Baiti" w:cs="Mongolian Baiti"/>
        </w:rPr>
      </w:pPr>
      <w:r>
        <w:rPr>
          <w:rStyle w:val="43"/>
          <w:rFonts w:hint="default" w:hAnsi="Mongolian Baiti" w:cs="Mongolian Baiti"/>
        </w:rPr>
        <w:t>3.拆除“两违”推进有力。为规范用地、建设规划秩序，坚决遏制和查处违法用地和违法建设行为，年内在规划区内开展了1次大规模拆除“两违”，拆除面积达5100㎡，为园区后续土地开发奠定了坚实基础。</w:t>
      </w:r>
    </w:p>
    <w:p>
      <w:pPr>
        <w:widowControl/>
        <w:spacing w:line="600" w:lineRule="exact"/>
        <w:ind w:firstLine="640" w:firstLineChars="200"/>
        <w:jc w:val="left"/>
        <w:rPr>
          <w:rStyle w:val="43"/>
          <w:rFonts w:hint="default" w:hAnsi="Mongolian Baiti" w:cs="Mongolian Baiti"/>
        </w:rPr>
      </w:pPr>
      <w:r>
        <w:rPr>
          <w:rStyle w:val="43"/>
          <w:rFonts w:hint="default" w:hAnsi="Mongolian Baiti" w:cs="Mongolian Baiti"/>
        </w:rPr>
        <w:t>4.管理制度进一步完善《勐海工业园区入园企业管理办法（试行）》于2019年9月30日正式印发，为严格勐海工业园区企业进驻和退出程序，规范园区企业及项目准入、运营和管理，加快园区产业发展壮大，提高入园企业项目质量，促进园区健康快速发展，打造经济效益好、资源消耗低、环境污染少的特色产业园区提供坚强的制度保障。</w:t>
      </w:r>
    </w:p>
    <w:p>
      <w:pPr>
        <w:widowControl/>
        <w:spacing w:line="600" w:lineRule="exact"/>
        <w:ind w:firstLine="640" w:firstLineChars="200"/>
        <w:jc w:val="left"/>
        <w:rPr>
          <w:rStyle w:val="43"/>
          <w:rFonts w:hint="default" w:hAnsi="Mongolian Baiti" w:cs="Mongolian Baiti"/>
        </w:rPr>
      </w:pPr>
      <w:r>
        <w:rPr>
          <w:rStyle w:val="43"/>
          <w:rFonts w:hint="default" w:hAnsi="Mongolian Baiti" w:cs="Mongolian Baiti"/>
        </w:rPr>
        <w:t>5.常抓安全生产不松懈。一是强化组织领导，全面安排部署，层层落实责任，共签订责任书40份。二是扎实开展安全生产监管工作。认真做好节假日期间专项监督检查、汛期专项检查、危险化学品等专项检查，全年共累计上报安全监管工作简报40余篇，累计检查企业200余次。三是积极开展安全生产宣传工作。围绕“抓好安全生产，打造平安园区”的活动主题，提前谋划，精心部署，开展系列宣教活动。2019年4月24日，召集工业园区驻区企业负责人和安全生产员， 召开2019年安全生产工作大会；2019年6月18日，以“防风险、除隐患、遏事故”为主题，开展“安全生产月”宣传咨询活动，此次活动深入企业42家，向员工以及群众发放宣传手册50余份，宣传资料80余份，2019年6月21日召集工业园区入园企业负责人和安全生产员到勐海华冠酒精有限责任公司开展消防安全工作业务培训。</w:t>
      </w:r>
    </w:p>
    <w:p>
      <w:pPr>
        <w:widowControl/>
        <w:spacing w:line="600" w:lineRule="exact"/>
        <w:ind w:firstLine="640" w:firstLineChars="200"/>
        <w:jc w:val="left"/>
        <w:rPr>
          <w:rStyle w:val="43"/>
          <w:rFonts w:hint="default" w:hAnsi="Mongolian Baiti" w:cs="Mongolian Baiti"/>
        </w:rPr>
      </w:pPr>
      <w:r>
        <w:rPr>
          <w:rStyle w:val="43"/>
          <w:rFonts w:hint="default" w:hAnsi="Mongolian Baiti" w:cs="Mongolian Baiti"/>
        </w:rPr>
        <w:t>6.县域工作目标责任量化考评工作开展有力。</w:t>
      </w:r>
    </w:p>
    <w:p>
      <w:pPr>
        <w:widowControl/>
        <w:spacing w:line="600" w:lineRule="exact"/>
        <w:ind w:firstLine="640" w:firstLineChars="200"/>
        <w:jc w:val="left"/>
        <w:rPr>
          <w:rStyle w:val="43"/>
          <w:rFonts w:hint="default" w:hAnsi="Mongolian Baiti" w:cs="Mongolian Baiti"/>
        </w:rPr>
      </w:pPr>
      <w:r>
        <w:rPr>
          <w:rStyle w:val="43"/>
          <w:rFonts w:hint="default" w:hAnsi="Mongolian Baiti" w:cs="Mongolian Baiti"/>
        </w:rPr>
        <w:t>（1）领导班子建设工作。认真开展“不忘初心</w:t>
      </w:r>
      <w:r>
        <w:rPr>
          <w:rStyle w:val="43"/>
          <w:rFonts w:hint="eastAsia" w:hAnsi="Mongolian Baiti" w:eastAsia="仿宋_GB2312" w:cs="Mongolian Baiti"/>
          <w:lang w:eastAsia="zh-CN"/>
        </w:rPr>
        <w:t>、</w:t>
      </w:r>
      <w:r>
        <w:rPr>
          <w:rStyle w:val="43"/>
          <w:rFonts w:hint="default" w:hAnsi="Mongolian Baiti" w:cs="Mongolian Baiti"/>
        </w:rPr>
        <w:t>牢记使命”主题教育。“不忘初心</w:t>
      </w:r>
      <w:r>
        <w:rPr>
          <w:rStyle w:val="43"/>
          <w:rFonts w:hint="eastAsia" w:hAnsi="Mongolian Baiti" w:eastAsia="仿宋_GB2312" w:cs="Mongolian Baiti"/>
          <w:lang w:eastAsia="zh-CN"/>
        </w:rPr>
        <w:t>、</w:t>
      </w:r>
      <w:r>
        <w:rPr>
          <w:rStyle w:val="43"/>
          <w:rFonts w:hint="default" w:hAnsi="Mongolian Baiti" w:cs="Mongolian Baiti"/>
        </w:rPr>
        <w:t>牢记使命”主题教育开展以来，园区“两新”党委紧紧围绕根本任务、牢牢把握“十二字”总要求、紧扣五大目标、坚持四个“贯穿始终”，以优良作风抓好主题教育各项工作落实，推动主题教育取得了阶段性成效。一是组织领导到位，成立了党工委书记任组长，其他班子成员为副组长的主题教育领导小组。先后组织召开园区主题教育动员部署会，及时跟进传达学习习近平总书记在“不忘初心、牢记使命”主题教育工作会议、中央和国家机关党的建设工作会议上的重要讲话精神等，加强动员部署，深化思想发动，安排重点任务。二是统筹协调到位，深入学习中央《关于在全党开展“不忘初心、牢记使命”主题教育的意见》，严格按照省委主题教育办公室印发的《云南省“不忘初心、牢记使命”主题教育推进工作制指南》，制定工作方案，对重点任务做出安排部署，确保主题教育方向明、任务清，进一步推动主题教育走深向实。</w:t>
      </w:r>
    </w:p>
    <w:p>
      <w:pPr>
        <w:ind w:firstLine="640" w:firstLineChars="200"/>
        <w:rPr>
          <w:rStyle w:val="43"/>
          <w:rFonts w:hint="default" w:hAnsi="Mongolian Baiti" w:cs="Mongolian Baiti"/>
        </w:rPr>
      </w:pPr>
      <w:r>
        <w:rPr>
          <w:rStyle w:val="43"/>
          <w:rFonts w:hint="default" w:hAnsi="Mongolian Baiti" w:cs="Mongolian Baiti"/>
        </w:rPr>
        <w:t>（2）夯实机关党建。通过“不忘初心、牢记</w:t>
      </w:r>
      <w:r>
        <w:rPr>
          <w:rStyle w:val="43"/>
          <w:rFonts w:hint="default" w:hAnsi="Mongolian Baiti" w:cs="Mongolian Baiti"/>
          <w:color w:val="auto"/>
          <w:u w:val="none"/>
        </w:rPr>
        <w:t>使命”主题教育，</w:t>
      </w:r>
      <w:r>
        <w:rPr>
          <w:rStyle w:val="43"/>
          <w:rFonts w:hint="default" w:hAnsi="Mongolian Baiti" w:cs="Mongolian Baiti"/>
        </w:rPr>
        <w:t>深化党内教育、抓党的思想、作风和队伍建设，推动学习教育从集中性教育活动向经常性教育延伸。积极参与庆祝中华人民共和国成立70周年系列活动，积极组织干部职工参加系列主题活动，参加了“象山社区联合党工委升国旗、唱国歌仪式”活动，开展了“不忘初心献余热、传递党恩暖人心”主题慰问活动，组织干部职工到影院观看了弘扬人民英雄的影片，用悬挂横幅、开展交流会等方式来渲染庆祝中华人民共和国成立70 周年的浓厚节日氛围。</w:t>
      </w:r>
    </w:p>
    <w:p>
      <w:pPr>
        <w:ind w:firstLine="640" w:firstLineChars="200"/>
        <w:rPr>
          <w:rStyle w:val="43"/>
          <w:rFonts w:hint="default" w:hAnsi="Mongolian Baiti" w:cs="Mongolian Baiti"/>
        </w:rPr>
      </w:pPr>
      <w:r>
        <w:rPr>
          <w:rStyle w:val="43"/>
          <w:rFonts w:hint="default" w:hAnsi="Mongolian Baiti" w:cs="Mongolian Baiti"/>
        </w:rPr>
        <w:t>（3）狠抓党风廉政建设。一是认真落实党风廉政建设责任制和主体责任，认真开展2019年“听、谈、查”工作，廉政谈话共5人次，对园区管委会重要职能股室和关键岗位人员进行主动预防。组织干部职工深入</w:t>
      </w:r>
      <w:r>
        <w:rPr>
          <w:rStyle w:val="43"/>
          <w:rFonts w:hint="default" w:hAnsi="Mongolian Baiti" w:cs="Mongolian Baiti"/>
          <w:color w:val="auto"/>
          <w:u w:val="none"/>
        </w:rPr>
        <w:t>学习《中国共产党章程》《中国共产党纪律处分条例》</w:t>
      </w:r>
      <w:r>
        <w:rPr>
          <w:rStyle w:val="43"/>
          <w:rFonts w:hint="eastAsia" w:hAnsi="Mongolian Baiti" w:eastAsia="仿宋_GB2312" w:cs="Mongolian Baiti"/>
          <w:color w:val="auto"/>
          <w:u w:val="none"/>
          <w:lang w:eastAsia="zh-CN"/>
        </w:rPr>
        <w:t>《</w:t>
      </w:r>
      <w:r>
        <w:rPr>
          <w:rStyle w:val="43"/>
          <w:rFonts w:hint="eastAsia" w:hAnsi="Mongolian Baiti" w:eastAsia="仿宋_GB2312" w:cs="Mongolian Baiti"/>
          <w:color w:val="auto"/>
          <w:u w:val="none"/>
          <w:lang w:val="en-US" w:eastAsia="zh-CN"/>
        </w:rPr>
        <w:t>习近平总书记系列重要讲话读本</w:t>
      </w:r>
      <w:r>
        <w:rPr>
          <w:rStyle w:val="43"/>
          <w:rFonts w:hint="eastAsia" w:hAnsi="Mongolian Baiti" w:eastAsia="仿宋_GB2312" w:cs="Mongolian Baiti"/>
          <w:color w:val="auto"/>
          <w:u w:val="none"/>
          <w:lang w:eastAsia="zh-CN"/>
        </w:rPr>
        <w:t>》</w:t>
      </w:r>
      <w:r>
        <w:rPr>
          <w:rStyle w:val="43"/>
          <w:rFonts w:hint="default" w:hAnsi="Mongolian Baiti" w:cs="Mongolian Baiti"/>
        </w:rPr>
        <w:t>等内容，从思想上进一步增强党员干部的勤政廉政意识，进一步巩固干部职工反腐倡廉思想防线。强化机关作风建设，认真贯彻落实“中央八项规定、六项禁令”精神，继续对存在的“四风”进行整改。</w:t>
      </w:r>
    </w:p>
    <w:p>
      <w:pPr>
        <w:ind w:firstLine="640" w:firstLineChars="200"/>
        <w:rPr>
          <w:rStyle w:val="43"/>
          <w:rFonts w:hint="default" w:hAnsi="Mongolian Baiti" w:cs="Mongolian Baiti"/>
        </w:rPr>
      </w:pPr>
      <w:r>
        <w:rPr>
          <w:rStyle w:val="43"/>
          <w:rFonts w:hint="default" w:hAnsi="Mongolian Baiti" w:cs="Mongolian Baiti"/>
        </w:rPr>
        <w:t>（4）加强思想文化宣传和意识形态工作。结合“不忘初心、牢记使命”</w:t>
      </w:r>
      <w:r>
        <w:rPr>
          <w:rStyle w:val="43"/>
          <w:rFonts w:hint="eastAsia" w:hAnsi="Mongolian Baiti" w:eastAsia="仿宋_GB2312" w:cs="Mongolian Baiti"/>
          <w:lang w:val="en-US" w:eastAsia="zh-CN"/>
        </w:rPr>
        <w:t>主题</w:t>
      </w:r>
      <w:r>
        <w:rPr>
          <w:rStyle w:val="43"/>
          <w:rFonts w:hint="default" w:hAnsi="Mongolian Baiti" w:cs="Mongolian Baiti"/>
        </w:rPr>
        <w:t>教育</w:t>
      </w:r>
      <w:bookmarkStart w:id="42" w:name="_GoBack"/>
      <w:bookmarkEnd w:id="42"/>
      <w:r>
        <w:rPr>
          <w:rStyle w:val="43"/>
          <w:rFonts w:hint="default" w:hAnsi="Mongolian Baiti" w:cs="Mongolian Baiti"/>
        </w:rPr>
        <w:t>，加强园区全体干部职工意识形态工作的理想信念教育，确实增强思想文化宣传意识、服务企业意识。</w:t>
      </w:r>
    </w:p>
    <w:p>
      <w:pPr>
        <w:ind w:firstLine="640" w:firstLineChars="200"/>
        <w:rPr>
          <w:rStyle w:val="43"/>
          <w:rFonts w:hint="default" w:hAnsi="Mongolian Baiti" w:cs="Mongolian Baiti"/>
        </w:rPr>
      </w:pPr>
      <w:r>
        <w:rPr>
          <w:rStyle w:val="43"/>
          <w:rFonts w:hint="default" w:hAnsi="Mongolian Baiti" w:cs="Mongolian Baiti"/>
        </w:rPr>
        <w:t>（5）综治维稳工作有力开展。一是扫黑除恶工作，为不断推动扫黑除恶专项斗争深入开展，先后在园区内组织工会联合会全体委员学习了“扫黑除恶专项斗争应知应会基础知识；组织工作人员进企业悬挂标语、张贴通告、派发宣传资料，以多种形式贴近企业一线职工进行宣传教育。共悬挂扫黑除恶宣传标语6条、张贴通告30余张、发放宣传册80余份，营造了扫黑除恶全民参与的浓厚氛围，为维护社会秩序和谐稳定奠定了良好基础。二是常抓禁毒工作，园区管委会在县禁毒委的指导下，紧密结合“不忘初心、牢</w:t>
      </w:r>
      <w:r>
        <w:rPr>
          <w:rStyle w:val="43"/>
          <w:rFonts w:hint="default" w:hAnsi="Mongolian Baiti" w:cs="Mongolian Baiti"/>
          <w:u w:val="none"/>
        </w:rPr>
        <w:t>记</w:t>
      </w:r>
      <w:r>
        <w:rPr>
          <w:rStyle w:val="43"/>
          <w:rFonts w:hint="default" w:hAnsi="Mongolian Baiti" w:cs="Mongolian Baiti"/>
          <w:color w:val="auto"/>
          <w:u w:val="none"/>
        </w:rPr>
        <w:t>使命”主题教育</w:t>
      </w:r>
      <w:r>
        <w:rPr>
          <w:rStyle w:val="43"/>
          <w:rFonts w:hint="default" w:hAnsi="Mongolian Baiti" w:cs="Mongolian Baiti"/>
          <w:u w:val="none"/>
        </w:rPr>
        <w:t>，</w:t>
      </w:r>
      <w:r>
        <w:rPr>
          <w:rStyle w:val="43"/>
          <w:rFonts w:hint="default" w:hAnsi="Mongolian Baiti" w:cs="Mongolian Baiti"/>
        </w:rPr>
        <w:t>从维护改革开放，发展稳定的大局出发，充分认识“创无毒、保净土”和巩固“无毒园区”工作的重要意义，园区按照禁毒工作方案的要求，强化措施、齐抓共管，圆满完成园区全年各项禁毒工作任务。</w:t>
      </w:r>
    </w:p>
    <w:p>
      <w:pPr>
        <w:ind w:firstLine="640" w:firstLineChars="200"/>
        <w:rPr>
          <w:rStyle w:val="43"/>
          <w:rFonts w:hint="default" w:hAnsi="Mongolian Baiti" w:cs="Mongolian Baiti"/>
        </w:rPr>
      </w:pPr>
      <w:r>
        <w:rPr>
          <w:rStyle w:val="43"/>
          <w:rFonts w:hint="default" w:hAnsi="Mongolian Baiti" w:cs="Mongolian Baiti"/>
        </w:rPr>
        <w:t>（6）抓牢法治建设和依法行政工作。通过会议集中学习和个人自学等形式学习了《领导干部干预司法活动、插手具体案件处理的记录、通报和责任追究规定》、《关于进一步规范司法人员与当事人、律师、特殊关系人、中介组织接触交往行为的若干规定》制度，干部职工法治意识得到进一步提升。</w:t>
      </w:r>
    </w:p>
    <w:p>
      <w:pPr>
        <w:ind w:firstLine="640" w:firstLineChars="200"/>
        <w:rPr>
          <w:rStyle w:val="43"/>
          <w:rFonts w:hint="default" w:hAnsi="Mongolian Baiti" w:cs="Mongolian Baiti"/>
        </w:rPr>
      </w:pPr>
      <w:r>
        <w:rPr>
          <w:rStyle w:val="43"/>
          <w:rFonts w:hint="default" w:hAnsi="Mongolian Baiti" w:cs="Mongolian Baiti"/>
        </w:rPr>
        <w:t>（7）扶贫攻坚日见成效。为确保中央和省、州、县脱贫攻坚各项决策部署落到实处，扎实有序推进脱贫攻坚工作，按照县委、县政府有关工作安排，积极开展“挂包帮、转走访”专项工作。全年分50次共派出100人次通过与村组干部、群众座谈了解、查看痕迹档案资料、到贫困农户家中走访等形式，进一步了解掌握挂钩户存在的困难和问题，摸清贫困户家底，为脱贫攻坚奠定了良好基础。在县扶贫开发领导小组的部署下，共派出2人到勐海镇曼袄村广宰小组扶贫点进行驻村扶贫及动态管理工作。定额资金投入,根据勐海工业园区管委会的实际情况，先后投入广宰村小组资金19060元。其中：基础设施6000元，村小组办公设施9760元，赈灾救济送温暖3300元；社会资源引入。2019年度引进社会帮扶资金64800元，其中基础设施16800元，用于村民房屋改造11200元；农村基础设施建设，用于安修建道路5600元。安装路灯6盏，每盏8000，共计48000元。针对贫困户实施一户一策的脱贫致富项目，根据实际情况针对他们开展种植培训、产业培训，经过技能培训项目实施取得一定实效，2019年人均收入比2018年人均收入提高2,007.42元，增幅达到25.59%</w:t>
      </w:r>
    </w:p>
    <w:p>
      <w:pPr>
        <w:pStyle w:val="4"/>
        <w:spacing w:before="0" w:after="0" w:line="360" w:lineRule="auto"/>
        <w:ind w:firstLine="643" w:firstLineChars="200"/>
        <w:rPr>
          <w:rFonts w:ascii="楷体_GB2312" w:hAnsi="华文楷体" w:eastAsia="楷体_GB2312" w:cs="Times New Roman"/>
          <w:color w:val="000000"/>
        </w:rPr>
      </w:pPr>
      <w:bookmarkStart w:id="7" w:name="_Toc54790328"/>
      <w:r>
        <w:rPr>
          <w:rFonts w:hint="eastAsia" w:ascii="楷体_GB2312" w:hAnsi="华文楷体" w:eastAsia="楷体_GB2312" w:cs="Times New Roman"/>
          <w:color w:val="000000"/>
        </w:rPr>
        <w:t>（四）</w:t>
      </w:r>
      <w:r>
        <w:rPr>
          <w:rFonts w:ascii="楷体_GB2312" w:hAnsi="华文楷体" w:eastAsia="楷体_GB2312" w:cs="Times New Roman"/>
          <w:color w:val="000000"/>
        </w:rPr>
        <w:t>部门</w:t>
      </w:r>
      <w:r>
        <w:rPr>
          <w:rFonts w:hint="eastAsia" w:ascii="楷体_GB2312" w:hAnsi="华文楷体" w:eastAsia="楷体_GB2312" w:cs="Times New Roman"/>
          <w:color w:val="000000"/>
        </w:rPr>
        <w:t>管理制度</w:t>
      </w:r>
      <w:bookmarkEnd w:id="7"/>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提供的资料情况，勐海工业园区管理委员会制定了《财务管理制度》、《勐海工业园区入园企业管理办法》、《勐海工业园区管理委员会工作制度》，对各股室职能职责进行了明确，对人事管理、公务用车、物资采购、固定资产、公文运转、文印管理、印章管理使用以及会议制度等进行了要求。规范了单位管理、财务管理以及入园企业的管理，单位内控制度建立较全面，但存在内控管理制度执行不到位以及制度内容简约的情况。</w:t>
      </w:r>
    </w:p>
    <w:p>
      <w:pPr>
        <w:pStyle w:val="4"/>
        <w:spacing w:before="0" w:after="0" w:line="360" w:lineRule="auto"/>
        <w:ind w:firstLine="643" w:firstLineChars="200"/>
        <w:rPr>
          <w:rFonts w:ascii="楷体_GB2312" w:hAnsi="华文楷体" w:eastAsia="楷体_GB2312" w:cs="Times New Roman"/>
          <w:color w:val="000000"/>
        </w:rPr>
      </w:pPr>
      <w:bookmarkStart w:id="8" w:name="_Toc54790329"/>
      <w:r>
        <w:rPr>
          <w:rFonts w:hint="eastAsia" w:ascii="楷体_GB2312" w:hAnsi="华文楷体" w:eastAsia="楷体_GB2312" w:cs="Times New Roman"/>
          <w:color w:val="000000"/>
        </w:rPr>
        <w:t>（五）</w:t>
      </w:r>
      <w:r>
        <w:rPr>
          <w:rFonts w:ascii="楷体_GB2312" w:hAnsi="华文楷体" w:eastAsia="楷体_GB2312" w:cs="Times New Roman"/>
          <w:color w:val="000000"/>
        </w:rPr>
        <w:t>部门</w:t>
      </w:r>
      <w:r>
        <w:rPr>
          <w:rFonts w:hint="eastAsia" w:ascii="楷体_GB2312" w:hAnsi="华文楷体" w:eastAsia="楷体_GB2312" w:cs="Times New Roman"/>
          <w:color w:val="000000"/>
        </w:rPr>
        <w:t>资金来源</w:t>
      </w:r>
      <w:r>
        <w:rPr>
          <w:rFonts w:ascii="楷体_GB2312" w:hAnsi="华文楷体" w:eastAsia="楷体_GB2312" w:cs="Times New Roman"/>
          <w:color w:val="000000"/>
        </w:rPr>
        <w:t>及使用情况</w:t>
      </w:r>
      <w:bookmarkEnd w:id="8"/>
    </w:p>
    <w:p>
      <w:pPr>
        <w:spacing w:line="360" w:lineRule="auto"/>
        <w:ind w:firstLine="640" w:firstLineChars="200"/>
        <w:rPr>
          <w:rFonts w:ascii="仿宋_GB2312" w:hAnsi="仿宋" w:eastAsia="仿宋_GB2312"/>
          <w:sz w:val="32"/>
          <w:szCs w:val="32"/>
        </w:rPr>
      </w:pPr>
      <w:bookmarkStart w:id="9" w:name="_Hlk513644610"/>
      <w:bookmarkStart w:id="10" w:name="_Toc25733400"/>
      <w:r>
        <w:rPr>
          <w:rFonts w:hint="eastAsia" w:ascii="仿宋_GB2312" w:hAnsi="仿宋" w:eastAsia="仿宋_GB2312"/>
          <w:sz w:val="32"/>
          <w:szCs w:val="32"/>
        </w:rPr>
        <w:t>1.年初预算。</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根据《勐海县财政局关于2019年度部门预算的批复</w:t>
      </w:r>
      <w:r>
        <w:rPr>
          <w:rFonts w:ascii="仿宋_GB2312" w:hAnsi="仿宋" w:eastAsia="仿宋_GB2312"/>
          <w:sz w:val="32"/>
          <w:szCs w:val="32"/>
        </w:rPr>
        <w:t>》</w:t>
      </w:r>
      <w:r>
        <w:rPr>
          <w:rFonts w:hint="eastAsia" w:ascii="仿宋_GB2312" w:hAnsi="仿宋" w:eastAsia="仿宋_GB2312"/>
          <w:sz w:val="32"/>
          <w:szCs w:val="32"/>
        </w:rPr>
        <w:t>（海财企字〔2019〕3号），勐海工业园区管理委员会2019年本及安排预算收入为</w:t>
      </w:r>
      <w:bookmarkStart w:id="11" w:name="IntSRYS"/>
      <w:r>
        <w:rPr>
          <w:rFonts w:ascii="仿宋_GB2312" w:hAnsi="仿宋" w:eastAsia="仿宋_GB2312"/>
          <w:sz w:val="32"/>
          <w:szCs w:val="32"/>
        </w:rPr>
        <w:t>2,454,119.16</w:t>
      </w:r>
      <w:bookmarkEnd w:id="11"/>
      <w:r>
        <w:rPr>
          <w:rFonts w:ascii="仿宋_GB2312" w:hAnsi="仿宋" w:eastAsia="仿宋_GB2312"/>
          <w:sz w:val="32"/>
          <w:szCs w:val="32"/>
        </w:rPr>
        <w:t>元</w:t>
      </w:r>
      <w:r>
        <w:rPr>
          <w:rFonts w:hint="eastAsia" w:ascii="仿宋_GB2312" w:hAnsi="仿宋" w:eastAsia="仿宋_GB2312"/>
          <w:sz w:val="32"/>
          <w:szCs w:val="32"/>
        </w:rPr>
        <w:t>，</w:t>
      </w:r>
      <w:r>
        <w:rPr>
          <w:rFonts w:ascii="仿宋_GB2312" w:hAnsi="仿宋" w:eastAsia="仿宋_GB2312"/>
          <w:sz w:val="32"/>
          <w:szCs w:val="32"/>
        </w:rPr>
        <w:t>其中：工资福利支出</w:t>
      </w:r>
      <w:bookmarkStart w:id="12" w:name="GZFLZC"/>
      <w:r>
        <w:rPr>
          <w:rFonts w:ascii="仿宋_GB2312" w:hAnsi="仿宋" w:eastAsia="仿宋_GB2312"/>
          <w:sz w:val="32"/>
          <w:szCs w:val="32"/>
        </w:rPr>
        <w:t>1,159,597.42</w:t>
      </w:r>
      <w:bookmarkEnd w:id="12"/>
      <w:r>
        <w:rPr>
          <w:rFonts w:ascii="仿宋_GB2312" w:hAnsi="仿宋" w:eastAsia="仿宋_GB2312"/>
          <w:sz w:val="32"/>
          <w:szCs w:val="32"/>
        </w:rPr>
        <w:t>元；商品和服务支出</w:t>
      </w:r>
      <w:bookmarkStart w:id="13" w:name="SPFWZC"/>
      <w:r>
        <w:rPr>
          <w:rFonts w:ascii="仿宋_GB2312" w:hAnsi="仿宋" w:eastAsia="仿宋_GB2312"/>
          <w:sz w:val="32"/>
          <w:szCs w:val="32"/>
        </w:rPr>
        <w:t>108,615.74</w:t>
      </w:r>
      <w:bookmarkEnd w:id="13"/>
      <w:r>
        <w:rPr>
          <w:rFonts w:ascii="仿宋_GB2312" w:hAnsi="仿宋" w:eastAsia="仿宋_GB2312"/>
          <w:sz w:val="32"/>
          <w:szCs w:val="32"/>
        </w:rPr>
        <w:t>元；项目支出</w:t>
      </w:r>
      <w:bookmarkStart w:id="14" w:name="XMZCYS"/>
      <w:r>
        <w:rPr>
          <w:rFonts w:ascii="仿宋_GB2312" w:hAnsi="仿宋" w:eastAsia="仿宋_GB2312"/>
          <w:sz w:val="32"/>
          <w:szCs w:val="32"/>
        </w:rPr>
        <w:t>1,185,906.00</w:t>
      </w:r>
      <w:bookmarkEnd w:id="14"/>
      <w:r>
        <w:rPr>
          <w:rFonts w:ascii="仿宋_GB2312" w:hAnsi="仿宋" w:eastAsia="仿宋_GB2312"/>
          <w:sz w:val="32"/>
          <w:szCs w:val="32"/>
        </w:rPr>
        <w:t>元。</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2.收入情况。</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根据《勐海县财政局关于勐海工业园区管理委员会 2019 年度部门决算的批复</w:t>
      </w:r>
      <w:r>
        <w:rPr>
          <w:rFonts w:ascii="仿宋_GB2312" w:hAnsi="仿宋" w:eastAsia="仿宋_GB2312"/>
          <w:sz w:val="32"/>
          <w:szCs w:val="32"/>
        </w:rPr>
        <w:t>》</w:t>
      </w:r>
      <w:r>
        <w:rPr>
          <w:rFonts w:hint="eastAsia" w:ascii="仿宋_GB2312" w:hAnsi="仿宋" w:eastAsia="仿宋_GB2312"/>
          <w:sz w:val="32"/>
          <w:szCs w:val="32"/>
        </w:rPr>
        <w:t>（海财建字〔2020〕48号），201</w:t>
      </w:r>
      <w:r>
        <w:rPr>
          <w:rFonts w:ascii="仿宋_GB2312" w:hAnsi="仿宋" w:eastAsia="仿宋_GB2312"/>
          <w:sz w:val="32"/>
          <w:szCs w:val="32"/>
        </w:rPr>
        <w:t>9</w:t>
      </w:r>
      <w:r>
        <w:rPr>
          <w:rFonts w:hint="eastAsia" w:ascii="仿宋_GB2312" w:hAnsi="仿宋" w:eastAsia="仿宋_GB2312"/>
          <w:sz w:val="32"/>
          <w:szCs w:val="32"/>
        </w:rPr>
        <w:t>年勐海工业园区管理委员会实际收入</w:t>
      </w:r>
      <w:r>
        <w:rPr>
          <w:rFonts w:ascii="仿宋_GB2312" w:hAnsi="仿宋" w:eastAsia="仿宋_GB2312"/>
          <w:sz w:val="32"/>
          <w:szCs w:val="32"/>
        </w:rPr>
        <w:t>5</w:t>
      </w:r>
      <w:r>
        <w:rPr>
          <w:rFonts w:hint="eastAsia" w:ascii="仿宋_GB2312" w:hAnsi="仿宋" w:eastAsia="仿宋_GB2312"/>
          <w:sz w:val="32"/>
          <w:szCs w:val="32"/>
        </w:rPr>
        <w:t>,</w:t>
      </w:r>
      <w:r>
        <w:rPr>
          <w:rFonts w:ascii="仿宋_GB2312" w:hAnsi="仿宋" w:eastAsia="仿宋_GB2312"/>
          <w:sz w:val="32"/>
          <w:szCs w:val="32"/>
        </w:rPr>
        <w:t>682</w:t>
      </w:r>
      <w:r>
        <w:rPr>
          <w:rFonts w:hint="eastAsia" w:ascii="仿宋_GB2312" w:hAnsi="仿宋" w:eastAsia="仿宋_GB2312"/>
          <w:sz w:val="32"/>
          <w:szCs w:val="32"/>
        </w:rPr>
        <w:t>,</w:t>
      </w:r>
      <w:r>
        <w:rPr>
          <w:rFonts w:ascii="仿宋_GB2312" w:hAnsi="仿宋" w:eastAsia="仿宋_GB2312"/>
          <w:sz w:val="32"/>
          <w:szCs w:val="32"/>
        </w:rPr>
        <w:t>301.32</w:t>
      </w:r>
      <w:r>
        <w:rPr>
          <w:rFonts w:hint="eastAsia" w:ascii="仿宋_GB2312" w:hAnsi="仿宋" w:eastAsia="仿宋_GB2312"/>
          <w:sz w:val="32"/>
          <w:szCs w:val="32"/>
        </w:rPr>
        <w:t>元，其中：一般公共预算财政拨款收入</w:t>
      </w:r>
      <w:r>
        <w:rPr>
          <w:rFonts w:ascii="仿宋_GB2312" w:hAnsi="仿宋" w:eastAsia="仿宋_GB2312"/>
          <w:sz w:val="32"/>
          <w:szCs w:val="32"/>
        </w:rPr>
        <w:t>3</w:t>
      </w:r>
      <w:r>
        <w:rPr>
          <w:rFonts w:hint="eastAsia" w:ascii="仿宋_GB2312" w:hAnsi="仿宋" w:eastAsia="仿宋_GB2312"/>
          <w:sz w:val="32"/>
          <w:szCs w:val="32"/>
        </w:rPr>
        <w:t>,</w:t>
      </w:r>
      <w:r>
        <w:rPr>
          <w:rFonts w:ascii="仿宋_GB2312" w:hAnsi="仿宋" w:eastAsia="仿宋_GB2312"/>
          <w:sz w:val="32"/>
          <w:szCs w:val="32"/>
        </w:rPr>
        <w:t>072</w:t>
      </w:r>
      <w:r>
        <w:rPr>
          <w:rFonts w:hint="eastAsia" w:ascii="仿宋_GB2312" w:hAnsi="仿宋" w:eastAsia="仿宋_GB2312"/>
          <w:sz w:val="32"/>
          <w:szCs w:val="32"/>
        </w:rPr>
        <w:t>,</w:t>
      </w:r>
      <w:r>
        <w:rPr>
          <w:rFonts w:ascii="仿宋_GB2312" w:hAnsi="仿宋" w:eastAsia="仿宋_GB2312"/>
          <w:sz w:val="32"/>
          <w:szCs w:val="32"/>
        </w:rPr>
        <w:t>301.32</w:t>
      </w:r>
      <w:r>
        <w:rPr>
          <w:rFonts w:hint="eastAsia" w:ascii="仿宋_GB2312" w:hAnsi="仿宋" w:eastAsia="仿宋_GB2312"/>
          <w:sz w:val="32"/>
          <w:szCs w:val="32"/>
        </w:rPr>
        <w:t>元（其中：基本支出</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341</w:t>
      </w:r>
      <w:r>
        <w:rPr>
          <w:rFonts w:hint="eastAsia" w:ascii="仿宋_GB2312" w:hAnsi="仿宋" w:eastAsia="仿宋_GB2312"/>
          <w:sz w:val="32"/>
          <w:szCs w:val="32"/>
        </w:rPr>
        <w:t>,</w:t>
      </w:r>
      <w:r>
        <w:rPr>
          <w:rFonts w:ascii="仿宋_GB2312" w:hAnsi="仿宋" w:eastAsia="仿宋_GB2312"/>
          <w:sz w:val="32"/>
          <w:szCs w:val="32"/>
        </w:rPr>
        <w:t>198.32</w:t>
      </w:r>
      <w:r>
        <w:rPr>
          <w:rFonts w:hint="eastAsia" w:ascii="仿宋_GB2312" w:hAnsi="仿宋" w:eastAsia="仿宋_GB2312"/>
          <w:sz w:val="32"/>
          <w:szCs w:val="32"/>
        </w:rPr>
        <w:t>元、项目支出</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731</w:t>
      </w:r>
      <w:r>
        <w:rPr>
          <w:rFonts w:hint="eastAsia" w:ascii="仿宋_GB2312" w:hAnsi="仿宋" w:eastAsia="仿宋_GB2312"/>
          <w:sz w:val="32"/>
          <w:szCs w:val="32"/>
        </w:rPr>
        <w:t>,</w:t>
      </w:r>
      <w:r>
        <w:rPr>
          <w:rFonts w:ascii="仿宋_GB2312" w:hAnsi="仿宋" w:eastAsia="仿宋_GB2312"/>
          <w:sz w:val="32"/>
          <w:szCs w:val="32"/>
        </w:rPr>
        <w:t>103</w:t>
      </w:r>
      <w:r>
        <w:rPr>
          <w:rFonts w:hint="eastAsia" w:ascii="仿宋_GB2312" w:hAnsi="仿宋" w:eastAsia="仿宋_GB2312"/>
          <w:sz w:val="32"/>
          <w:szCs w:val="32"/>
        </w:rPr>
        <w:t>.00元）；政府性基金预算财政拨款收入</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610</w:t>
      </w:r>
      <w:r>
        <w:rPr>
          <w:rFonts w:hint="eastAsia" w:ascii="仿宋_GB2312" w:hAnsi="仿宋" w:eastAsia="仿宋_GB2312"/>
          <w:sz w:val="32"/>
          <w:szCs w:val="32"/>
        </w:rPr>
        <w:t>,</w:t>
      </w:r>
      <w:r>
        <w:rPr>
          <w:rFonts w:ascii="仿宋_GB2312" w:hAnsi="仿宋" w:eastAsia="仿宋_GB2312"/>
          <w:sz w:val="32"/>
          <w:szCs w:val="32"/>
        </w:rPr>
        <w:t>000</w:t>
      </w:r>
      <w:r>
        <w:rPr>
          <w:rFonts w:hint="eastAsia" w:ascii="仿宋_GB2312" w:hAnsi="仿宋" w:eastAsia="仿宋_GB2312"/>
          <w:sz w:val="32"/>
          <w:szCs w:val="32"/>
        </w:rPr>
        <w:t>.00元（全部为项目支出）。年初项目结转结余资金</w:t>
      </w:r>
      <w:r>
        <w:rPr>
          <w:rFonts w:ascii="仿宋_GB2312" w:hAnsi="仿宋" w:eastAsia="仿宋_GB2312"/>
          <w:sz w:val="32"/>
          <w:szCs w:val="32"/>
        </w:rPr>
        <w:t>11</w:t>
      </w:r>
      <w:r>
        <w:rPr>
          <w:rFonts w:hint="eastAsia" w:ascii="仿宋_GB2312" w:hAnsi="仿宋" w:eastAsia="仿宋_GB2312"/>
          <w:sz w:val="32"/>
          <w:szCs w:val="32"/>
        </w:rPr>
        <w:t>,</w:t>
      </w:r>
      <w:r>
        <w:rPr>
          <w:rFonts w:ascii="仿宋_GB2312" w:hAnsi="仿宋" w:eastAsia="仿宋_GB2312"/>
          <w:sz w:val="32"/>
          <w:szCs w:val="32"/>
        </w:rPr>
        <w:t>605</w:t>
      </w:r>
      <w:r>
        <w:rPr>
          <w:rFonts w:hint="eastAsia" w:ascii="仿宋_GB2312" w:hAnsi="仿宋" w:eastAsia="仿宋_GB2312"/>
          <w:sz w:val="32"/>
          <w:szCs w:val="32"/>
        </w:rPr>
        <w:t>,</w:t>
      </w:r>
      <w:r>
        <w:rPr>
          <w:rFonts w:ascii="仿宋_GB2312" w:hAnsi="仿宋" w:eastAsia="仿宋_GB2312"/>
          <w:sz w:val="32"/>
          <w:szCs w:val="32"/>
        </w:rPr>
        <w:t>834.77</w:t>
      </w:r>
      <w:r>
        <w:rPr>
          <w:rFonts w:hint="eastAsia" w:ascii="仿宋_GB2312" w:hAnsi="仿宋" w:eastAsia="仿宋_GB2312"/>
          <w:sz w:val="32"/>
          <w:szCs w:val="32"/>
        </w:rPr>
        <w:t>元，当年可支配收入</w:t>
      </w:r>
      <w:r>
        <w:rPr>
          <w:rFonts w:ascii="仿宋_GB2312" w:hAnsi="仿宋" w:eastAsia="仿宋_GB2312"/>
          <w:sz w:val="32"/>
          <w:szCs w:val="32"/>
        </w:rPr>
        <w:t>17</w:t>
      </w:r>
      <w:r>
        <w:rPr>
          <w:rFonts w:hint="eastAsia" w:ascii="仿宋_GB2312" w:hAnsi="仿宋" w:eastAsia="仿宋_GB2312"/>
          <w:sz w:val="32"/>
          <w:szCs w:val="32"/>
        </w:rPr>
        <w:t>,</w:t>
      </w:r>
      <w:r>
        <w:rPr>
          <w:rFonts w:ascii="仿宋_GB2312" w:hAnsi="仿宋" w:eastAsia="仿宋_GB2312"/>
          <w:sz w:val="32"/>
          <w:szCs w:val="32"/>
        </w:rPr>
        <w:t>288</w:t>
      </w:r>
      <w:r>
        <w:rPr>
          <w:rFonts w:hint="eastAsia" w:ascii="仿宋_GB2312" w:hAnsi="仿宋" w:eastAsia="仿宋_GB2312"/>
          <w:sz w:val="32"/>
          <w:szCs w:val="32"/>
        </w:rPr>
        <w:t>,</w:t>
      </w:r>
      <w:r>
        <w:rPr>
          <w:rFonts w:ascii="仿宋_GB2312" w:hAnsi="仿宋" w:eastAsia="仿宋_GB2312"/>
          <w:sz w:val="32"/>
          <w:szCs w:val="32"/>
        </w:rPr>
        <w:t>136.09</w:t>
      </w:r>
      <w:r>
        <w:rPr>
          <w:rFonts w:hint="eastAsia" w:ascii="仿宋_GB2312" w:hAnsi="仿宋" w:eastAsia="仿宋_GB2312"/>
          <w:sz w:val="32"/>
          <w:szCs w:val="32"/>
        </w:rPr>
        <w:t>元。</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3.支出情况。</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ascii="仿宋_GB2312" w:hAnsi="仿宋" w:eastAsia="仿宋_GB2312"/>
          <w:sz w:val="32"/>
          <w:szCs w:val="32"/>
        </w:rPr>
        <w:t>9</w:t>
      </w:r>
      <w:r>
        <w:rPr>
          <w:rFonts w:hint="eastAsia" w:ascii="仿宋_GB2312" w:hAnsi="仿宋" w:eastAsia="仿宋_GB2312"/>
          <w:sz w:val="32"/>
          <w:szCs w:val="32"/>
        </w:rPr>
        <w:t>年市勐海工业园区管理委员会实际支出</w:t>
      </w:r>
      <w:r>
        <w:rPr>
          <w:rFonts w:ascii="仿宋_GB2312" w:hAnsi="仿宋" w:eastAsia="仿宋_GB2312"/>
          <w:sz w:val="32"/>
          <w:szCs w:val="32"/>
        </w:rPr>
        <w:t>7</w:t>
      </w:r>
      <w:r>
        <w:rPr>
          <w:rFonts w:hint="eastAsia" w:ascii="仿宋_GB2312" w:hAnsi="仿宋" w:eastAsia="仿宋_GB2312"/>
          <w:sz w:val="32"/>
          <w:szCs w:val="32"/>
        </w:rPr>
        <w:t>,</w:t>
      </w:r>
      <w:r>
        <w:rPr>
          <w:rFonts w:ascii="仿宋_GB2312" w:hAnsi="仿宋" w:eastAsia="仿宋_GB2312"/>
          <w:sz w:val="32"/>
          <w:szCs w:val="32"/>
        </w:rPr>
        <w:t>473</w:t>
      </w:r>
      <w:r>
        <w:rPr>
          <w:rFonts w:hint="eastAsia" w:ascii="仿宋_GB2312" w:hAnsi="仿宋" w:eastAsia="仿宋_GB2312"/>
          <w:sz w:val="32"/>
          <w:szCs w:val="32"/>
        </w:rPr>
        <w:t>,</w:t>
      </w:r>
      <w:r>
        <w:rPr>
          <w:rFonts w:ascii="仿宋_GB2312" w:hAnsi="仿宋" w:eastAsia="仿宋_GB2312"/>
          <w:sz w:val="32"/>
          <w:szCs w:val="32"/>
        </w:rPr>
        <w:t>641.42</w:t>
      </w:r>
      <w:r>
        <w:rPr>
          <w:rFonts w:hint="eastAsia" w:ascii="仿宋_GB2312" w:hAnsi="仿宋" w:eastAsia="仿宋_GB2312"/>
          <w:sz w:val="32"/>
          <w:szCs w:val="32"/>
        </w:rPr>
        <w:t>元，其中：基本支出</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362</w:t>
      </w:r>
      <w:r>
        <w:rPr>
          <w:rFonts w:hint="eastAsia" w:ascii="仿宋_GB2312" w:hAnsi="仿宋" w:eastAsia="仿宋_GB2312"/>
          <w:sz w:val="32"/>
          <w:szCs w:val="32"/>
        </w:rPr>
        <w:t>,</w:t>
      </w:r>
      <w:r>
        <w:rPr>
          <w:rFonts w:ascii="仿宋_GB2312" w:hAnsi="仿宋" w:eastAsia="仿宋_GB2312"/>
          <w:sz w:val="32"/>
          <w:szCs w:val="32"/>
        </w:rPr>
        <w:t>461.17</w:t>
      </w:r>
      <w:r>
        <w:rPr>
          <w:rFonts w:hint="eastAsia" w:ascii="仿宋_GB2312" w:hAnsi="仿宋" w:eastAsia="仿宋_GB2312"/>
          <w:sz w:val="32"/>
          <w:szCs w:val="32"/>
        </w:rPr>
        <w:t>元，项目支出</w:t>
      </w:r>
      <w:r>
        <w:rPr>
          <w:rFonts w:ascii="仿宋_GB2312" w:hAnsi="仿宋" w:eastAsia="仿宋_GB2312"/>
          <w:sz w:val="32"/>
          <w:szCs w:val="32"/>
        </w:rPr>
        <w:t>6</w:t>
      </w:r>
      <w:r>
        <w:rPr>
          <w:rFonts w:hint="eastAsia" w:ascii="仿宋_GB2312" w:hAnsi="仿宋" w:eastAsia="仿宋_GB2312"/>
          <w:sz w:val="32"/>
          <w:szCs w:val="32"/>
        </w:rPr>
        <w:t>,</w:t>
      </w:r>
      <w:r>
        <w:rPr>
          <w:rFonts w:ascii="仿宋_GB2312" w:hAnsi="仿宋" w:eastAsia="仿宋_GB2312"/>
          <w:sz w:val="32"/>
          <w:szCs w:val="32"/>
        </w:rPr>
        <w:t>111</w:t>
      </w:r>
      <w:r>
        <w:rPr>
          <w:rFonts w:hint="eastAsia" w:ascii="仿宋_GB2312" w:hAnsi="仿宋" w:eastAsia="仿宋_GB2312"/>
          <w:sz w:val="32"/>
          <w:szCs w:val="32"/>
        </w:rPr>
        <w:t>,</w:t>
      </w:r>
      <w:r>
        <w:rPr>
          <w:rFonts w:ascii="仿宋_GB2312" w:hAnsi="仿宋" w:eastAsia="仿宋_GB2312"/>
          <w:sz w:val="32"/>
          <w:szCs w:val="32"/>
        </w:rPr>
        <w:t>180.25</w:t>
      </w:r>
      <w:r>
        <w:rPr>
          <w:rFonts w:hint="eastAsia" w:ascii="仿宋_GB2312" w:hAnsi="仿宋" w:eastAsia="仿宋_GB2312"/>
          <w:sz w:val="32"/>
          <w:szCs w:val="32"/>
        </w:rPr>
        <w:t>元。</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4.结转结余情况。</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ascii="仿宋_GB2312" w:hAnsi="仿宋" w:eastAsia="仿宋_GB2312"/>
          <w:sz w:val="32"/>
          <w:szCs w:val="32"/>
        </w:rPr>
        <w:t>9</w:t>
      </w:r>
      <w:r>
        <w:rPr>
          <w:rFonts w:hint="eastAsia" w:ascii="仿宋_GB2312" w:hAnsi="仿宋" w:eastAsia="仿宋_GB2312"/>
          <w:sz w:val="32"/>
          <w:szCs w:val="32"/>
        </w:rPr>
        <w:t>年勐海工业园区管理委员会结转结余</w:t>
      </w:r>
      <w:r>
        <w:rPr>
          <w:rFonts w:ascii="仿宋_GB2312" w:hAnsi="仿宋" w:eastAsia="仿宋_GB2312"/>
          <w:sz w:val="32"/>
          <w:szCs w:val="32"/>
        </w:rPr>
        <w:t>11</w:t>
      </w:r>
      <w:r>
        <w:rPr>
          <w:rFonts w:hint="eastAsia" w:ascii="仿宋_GB2312" w:hAnsi="仿宋" w:eastAsia="仿宋_GB2312"/>
          <w:sz w:val="32"/>
          <w:szCs w:val="32"/>
        </w:rPr>
        <w:t>,</w:t>
      </w:r>
      <w:r>
        <w:rPr>
          <w:rFonts w:ascii="仿宋_GB2312" w:hAnsi="仿宋" w:eastAsia="仿宋_GB2312"/>
          <w:sz w:val="32"/>
          <w:szCs w:val="32"/>
        </w:rPr>
        <w:t>605</w:t>
      </w:r>
      <w:r>
        <w:rPr>
          <w:rFonts w:hint="eastAsia" w:ascii="仿宋_GB2312" w:hAnsi="仿宋" w:eastAsia="仿宋_GB2312"/>
          <w:sz w:val="32"/>
          <w:szCs w:val="32"/>
        </w:rPr>
        <w:t>,</w:t>
      </w:r>
      <w:r>
        <w:rPr>
          <w:rFonts w:ascii="仿宋_GB2312" w:hAnsi="仿宋" w:eastAsia="仿宋_GB2312"/>
          <w:sz w:val="32"/>
          <w:szCs w:val="32"/>
        </w:rPr>
        <w:t>834.77</w:t>
      </w:r>
      <w:r>
        <w:rPr>
          <w:rFonts w:hint="eastAsia" w:ascii="仿宋_GB2312" w:hAnsi="仿宋" w:eastAsia="仿宋_GB2312"/>
          <w:sz w:val="32"/>
          <w:szCs w:val="32"/>
        </w:rPr>
        <w:t>元，年末结转结余资金</w:t>
      </w:r>
      <w:r>
        <w:rPr>
          <w:rFonts w:ascii="仿宋_GB2312" w:hAnsi="仿宋" w:eastAsia="仿宋_GB2312"/>
          <w:sz w:val="32"/>
          <w:szCs w:val="32"/>
        </w:rPr>
        <w:t>9</w:t>
      </w:r>
      <w:r>
        <w:rPr>
          <w:rFonts w:hint="eastAsia" w:ascii="仿宋_GB2312" w:hAnsi="仿宋" w:eastAsia="仿宋_GB2312"/>
          <w:sz w:val="32"/>
          <w:szCs w:val="32"/>
        </w:rPr>
        <w:t>,</w:t>
      </w:r>
      <w:r>
        <w:rPr>
          <w:rFonts w:ascii="仿宋_GB2312" w:hAnsi="仿宋" w:eastAsia="仿宋_GB2312"/>
          <w:sz w:val="32"/>
          <w:szCs w:val="32"/>
        </w:rPr>
        <w:t>814</w:t>
      </w:r>
      <w:r>
        <w:rPr>
          <w:rFonts w:hint="eastAsia" w:ascii="仿宋_GB2312" w:hAnsi="仿宋" w:eastAsia="仿宋_GB2312"/>
          <w:sz w:val="32"/>
          <w:szCs w:val="32"/>
        </w:rPr>
        <w:t>,</w:t>
      </w:r>
      <w:r>
        <w:rPr>
          <w:rFonts w:ascii="仿宋_GB2312" w:hAnsi="仿宋" w:eastAsia="仿宋_GB2312"/>
          <w:sz w:val="32"/>
          <w:szCs w:val="32"/>
        </w:rPr>
        <w:t>494.67</w:t>
      </w:r>
      <w:r>
        <w:rPr>
          <w:rFonts w:hint="eastAsia" w:ascii="仿宋_GB2312" w:hAnsi="仿宋" w:eastAsia="仿宋_GB2312"/>
          <w:sz w:val="32"/>
          <w:szCs w:val="32"/>
        </w:rPr>
        <w:t>元，较年初减少1,791,340.10元</w:t>
      </w:r>
      <w:r>
        <w:rPr>
          <w:rFonts w:ascii="仿宋_GB2312" w:hAnsi="仿宋" w:eastAsia="仿宋_GB2312"/>
          <w:sz w:val="32"/>
          <w:szCs w:val="32"/>
        </w:rPr>
        <w:t>，减少率</w:t>
      </w:r>
      <w:r>
        <w:rPr>
          <w:rFonts w:hint="eastAsia" w:ascii="仿宋_GB2312" w:hAnsi="仿宋" w:eastAsia="仿宋_GB2312"/>
          <w:sz w:val="32"/>
          <w:szCs w:val="32"/>
        </w:rPr>
        <w:t>15.43</w:t>
      </w:r>
      <w:bookmarkEnd w:id="9"/>
      <w:r>
        <w:rPr>
          <w:rFonts w:hint="eastAsia" w:ascii="仿宋_GB2312" w:hAnsi="仿宋" w:eastAsia="仿宋_GB2312"/>
          <w:sz w:val="32"/>
          <w:szCs w:val="32"/>
        </w:rPr>
        <w:t>%。</w:t>
      </w:r>
    </w:p>
    <w:p>
      <w:pPr>
        <w:pStyle w:val="4"/>
        <w:spacing w:before="0" w:after="0" w:line="360" w:lineRule="auto"/>
        <w:ind w:firstLine="643" w:firstLineChars="200"/>
        <w:rPr>
          <w:rFonts w:ascii="楷体_GB2312" w:hAnsi="华文楷体" w:eastAsia="楷体_GB2312" w:cs="Times New Roman"/>
          <w:color w:val="000000"/>
        </w:rPr>
      </w:pPr>
      <w:bookmarkStart w:id="15" w:name="_Toc54790330"/>
      <w:r>
        <w:rPr>
          <w:rFonts w:hint="eastAsia" w:ascii="楷体_GB2312" w:hAnsi="华文楷体" w:eastAsia="楷体_GB2312" w:cs="Times New Roman"/>
          <w:color w:val="000000"/>
        </w:rPr>
        <w:t>（六）政府采购</w:t>
      </w:r>
      <w:r>
        <w:rPr>
          <w:rFonts w:ascii="楷体_GB2312" w:hAnsi="华文楷体" w:eastAsia="楷体_GB2312" w:cs="Times New Roman"/>
          <w:color w:val="000000"/>
        </w:rPr>
        <w:t>情况</w:t>
      </w:r>
      <w:bookmarkEnd w:id="15"/>
    </w:p>
    <w:p>
      <w:pPr>
        <w:ind w:firstLine="640" w:firstLineChars="200"/>
        <w:rPr>
          <w:rFonts w:ascii="仿宋_GB2312" w:hAnsi="Arial Narrow" w:eastAsia="仿宋_GB2312"/>
          <w:color w:val="FF0000"/>
          <w:sz w:val="32"/>
          <w:szCs w:val="32"/>
          <w:lang w:val="zh-CN"/>
        </w:rPr>
      </w:pPr>
      <w:r>
        <w:rPr>
          <w:rFonts w:hint="eastAsia" w:ascii="仿宋_GB2312" w:hAnsi="仿宋" w:eastAsia="仿宋_GB2312"/>
          <w:sz w:val="32"/>
          <w:szCs w:val="32"/>
        </w:rPr>
        <w:t>勐海工业园区管理委员未填报政府采购预算，年度采购的工程项目及其他服务，由职能处室牵头按</w:t>
      </w:r>
      <w:r>
        <w:rPr>
          <w:rFonts w:ascii="仿宋_GB2312" w:hAnsi="仿宋" w:eastAsia="仿宋_GB2312"/>
          <w:sz w:val="32"/>
          <w:szCs w:val="32"/>
        </w:rPr>
        <w:t>程序</w:t>
      </w:r>
      <w:r>
        <w:rPr>
          <w:rFonts w:hint="eastAsia" w:ascii="仿宋_GB2312" w:hAnsi="仿宋" w:eastAsia="仿宋_GB2312"/>
          <w:sz w:val="32"/>
          <w:szCs w:val="32"/>
        </w:rPr>
        <w:t>执行了公开招标或竞争性谈判、合同签署、合同执行、验收等环节的工作，实际采购管理、合同管理等内部控制按</w:t>
      </w:r>
      <w:r>
        <w:rPr>
          <w:rFonts w:ascii="仿宋_GB2312" w:hAnsi="仿宋" w:eastAsia="仿宋_GB2312"/>
          <w:sz w:val="32"/>
          <w:szCs w:val="32"/>
        </w:rPr>
        <w:t>单位</w:t>
      </w:r>
      <w:r>
        <w:rPr>
          <w:rFonts w:hint="eastAsia" w:ascii="仿宋_GB2312" w:hAnsi="仿宋" w:eastAsia="仿宋_GB2312"/>
          <w:sz w:val="32"/>
          <w:szCs w:val="32"/>
        </w:rPr>
        <w:t>决策审批</w:t>
      </w:r>
      <w:r>
        <w:rPr>
          <w:rFonts w:ascii="仿宋_GB2312" w:hAnsi="仿宋" w:eastAsia="仿宋_GB2312"/>
          <w:sz w:val="32"/>
          <w:szCs w:val="32"/>
        </w:rPr>
        <w:t>程序</w:t>
      </w:r>
      <w:r>
        <w:rPr>
          <w:rFonts w:hint="eastAsia" w:ascii="仿宋_GB2312" w:hAnsi="仿宋" w:eastAsia="仿宋_GB2312"/>
          <w:sz w:val="32"/>
          <w:szCs w:val="32"/>
        </w:rPr>
        <w:t>执行，但</w:t>
      </w:r>
      <w:r>
        <w:rPr>
          <w:rFonts w:ascii="仿宋_GB2312" w:hAnsi="仿宋" w:eastAsia="仿宋_GB2312"/>
          <w:sz w:val="32"/>
          <w:szCs w:val="32"/>
        </w:rPr>
        <w:t>未按规定进行政府采购预算的填报及决算</w:t>
      </w:r>
      <w:r>
        <w:rPr>
          <w:rFonts w:hint="eastAsia" w:ascii="仿宋_GB2312" w:hAnsi="仿宋" w:eastAsia="仿宋_GB2312"/>
          <w:sz w:val="32"/>
          <w:szCs w:val="32"/>
        </w:rPr>
        <w:t>。</w:t>
      </w:r>
    </w:p>
    <w:p>
      <w:pPr>
        <w:pStyle w:val="4"/>
        <w:spacing w:before="0" w:after="0" w:line="360" w:lineRule="auto"/>
        <w:ind w:firstLine="643" w:firstLineChars="200"/>
        <w:rPr>
          <w:rFonts w:ascii="楷体_GB2312" w:hAnsi="华文楷体" w:eastAsia="楷体_GB2312" w:cs="Times New Roman"/>
          <w:color w:val="000000"/>
        </w:rPr>
      </w:pPr>
      <w:bookmarkStart w:id="16" w:name="_Toc54790331"/>
      <w:r>
        <w:rPr>
          <w:rFonts w:hint="eastAsia" w:ascii="楷体_GB2312" w:hAnsi="华文楷体" w:eastAsia="楷体_GB2312" w:cs="Times New Roman"/>
          <w:color w:val="000000"/>
        </w:rPr>
        <w:t>（七）固定资产</w:t>
      </w:r>
      <w:r>
        <w:rPr>
          <w:rFonts w:ascii="楷体_GB2312" w:hAnsi="华文楷体" w:eastAsia="楷体_GB2312" w:cs="Times New Roman"/>
          <w:color w:val="000000"/>
        </w:rPr>
        <w:t>情况</w:t>
      </w:r>
      <w:bookmarkEnd w:id="16"/>
    </w:p>
    <w:p>
      <w:pPr>
        <w:spacing w:line="360" w:lineRule="auto"/>
        <w:ind w:firstLine="640" w:firstLineChars="200"/>
        <w:rPr>
          <w:rFonts w:ascii="仿宋_GB2312" w:hAnsi="Arial Narrow" w:eastAsia="仿宋_GB2312"/>
          <w:sz w:val="32"/>
          <w:szCs w:val="32"/>
        </w:rPr>
      </w:pPr>
      <w:r>
        <w:rPr>
          <w:rFonts w:hint="eastAsia" w:ascii="仿宋_GB2312" w:hAnsi="仿宋" w:eastAsia="仿宋_GB2312"/>
          <w:sz w:val="32"/>
          <w:szCs w:val="32"/>
        </w:rPr>
        <w:t>固定资产管理方面，根据提供的《勐海工业园区管理委员会工作制度》，单位对固定资产的管理、使用等程序进行了规定，固定资产管理过程中，已按照要求进行了折旧计提、卡片登记，但</w:t>
      </w:r>
      <w:r>
        <w:rPr>
          <w:rFonts w:hint="eastAsia" w:ascii="仿宋_GB2312" w:hAnsi="Arial Narrow" w:eastAsia="仿宋_GB2312"/>
          <w:sz w:val="32"/>
          <w:szCs w:val="32"/>
        </w:rPr>
        <w:t>201</w:t>
      </w:r>
      <w:r>
        <w:rPr>
          <w:rFonts w:ascii="仿宋_GB2312" w:hAnsi="Arial Narrow" w:eastAsia="仿宋_GB2312"/>
          <w:sz w:val="32"/>
          <w:szCs w:val="32"/>
        </w:rPr>
        <w:t>9</w:t>
      </w:r>
      <w:r>
        <w:rPr>
          <w:rFonts w:hint="eastAsia" w:ascii="仿宋_GB2312" w:hAnsi="Arial Narrow" w:eastAsia="仿宋_GB2312"/>
          <w:sz w:val="32"/>
          <w:szCs w:val="32"/>
        </w:rPr>
        <w:t>年</w:t>
      </w:r>
      <w:r>
        <w:rPr>
          <w:rFonts w:hint="eastAsia" w:ascii="仿宋_GB2312" w:hAnsi="仿宋" w:eastAsia="仿宋_GB2312"/>
          <w:sz w:val="32"/>
          <w:szCs w:val="32"/>
        </w:rPr>
        <w:t>勐海工业园区管理委员会未及时</w:t>
      </w:r>
      <w:r>
        <w:rPr>
          <w:rFonts w:hint="eastAsia" w:ascii="仿宋_GB2312" w:hAnsi="Arial Narrow" w:eastAsia="仿宋_GB2312"/>
          <w:sz w:val="32"/>
          <w:szCs w:val="32"/>
        </w:rPr>
        <w:t>进行固定资产定期盘点清查，未</w:t>
      </w:r>
      <w:r>
        <w:rPr>
          <w:rFonts w:ascii="仿宋_GB2312" w:hAnsi="Arial Narrow" w:eastAsia="仿宋_GB2312"/>
          <w:sz w:val="32"/>
          <w:szCs w:val="32"/>
        </w:rPr>
        <w:t>及时</w:t>
      </w:r>
      <w:r>
        <w:rPr>
          <w:rFonts w:hint="eastAsia" w:ascii="仿宋_GB2312" w:hAnsi="Arial Narrow" w:eastAsia="仿宋_GB2312"/>
          <w:sz w:val="32"/>
          <w:szCs w:val="32"/>
        </w:rPr>
        <w:t>对拟报废资产进行处置申请，</w:t>
      </w:r>
      <w:r>
        <w:rPr>
          <w:rFonts w:ascii="仿宋_GB2312" w:hAnsi="仿宋" w:eastAsia="仿宋_GB2312"/>
          <w:sz w:val="32"/>
          <w:szCs w:val="32"/>
        </w:rPr>
        <w:t>资产</w:t>
      </w:r>
      <w:r>
        <w:rPr>
          <w:rFonts w:hint="eastAsia" w:ascii="仿宋_GB2312" w:hAnsi="仿宋" w:eastAsia="仿宋_GB2312"/>
          <w:sz w:val="32"/>
          <w:szCs w:val="32"/>
        </w:rPr>
        <w:t>清查、处置、监督等固定资产日常管理工作有待加强</w:t>
      </w:r>
      <w:r>
        <w:rPr>
          <w:rFonts w:ascii="仿宋_GB2312" w:hAnsi="仿宋" w:eastAsia="仿宋_GB2312"/>
          <w:sz w:val="32"/>
          <w:szCs w:val="32"/>
        </w:rPr>
        <w:t>。</w:t>
      </w:r>
    </w:p>
    <w:p>
      <w:pPr>
        <w:spacing w:line="360" w:lineRule="auto"/>
        <w:ind w:firstLine="640" w:firstLineChars="200"/>
        <w:rPr>
          <w:rFonts w:ascii="仿宋_GB2312" w:hAnsi="Arial Narrow" w:eastAsia="仿宋_GB2312"/>
          <w:sz w:val="32"/>
          <w:szCs w:val="32"/>
        </w:rPr>
      </w:pPr>
      <w:r>
        <w:rPr>
          <w:rFonts w:hint="eastAsia" w:ascii="仿宋_GB2312" w:hAnsi="仿宋" w:eastAsia="仿宋_GB2312"/>
          <w:sz w:val="32"/>
          <w:szCs w:val="32"/>
        </w:rPr>
        <w:t>2019年勐海工业园区管理委员</w:t>
      </w:r>
      <w:r>
        <w:rPr>
          <w:rFonts w:ascii="仿宋_GB2312" w:hAnsi="仿宋" w:eastAsia="仿宋_GB2312"/>
          <w:sz w:val="32"/>
          <w:szCs w:val="32"/>
        </w:rPr>
        <w:t>新增固定资产</w:t>
      </w:r>
      <w:r>
        <w:rPr>
          <w:rFonts w:hint="eastAsia" w:ascii="仿宋_GB2312" w:hAnsi="仿宋" w:eastAsia="仿宋_GB2312"/>
          <w:sz w:val="32"/>
          <w:szCs w:val="32"/>
        </w:rPr>
        <w:t>392,271.37元，为通过调拨方式取得的汽车库</w:t>
      </w:r>
      <w:r>
        <w:rPr>
          <w:rFonts w:hint="eastAsia" w:ascii="仿宋_GB2312" w:hAnsi="仿宋" w:eastAsia="仿宋_GB2312"/>
          <w:color w:val="FF0000"/>
          <w:sz w:val="32"/>
          <w:szCs w:val="32"/>
        </w:rPr>
        <w:t>2</w:t>
      </w:r>
      <w:r>
        <w:rPr>
          <w:rFonts w:hint="eastAsia" w:ascii="仿宋_GB2312" w:hAnsi="仿宋" w:eastAsia="仿宋_GB2312"/>
          <w:sz w:val="32"/>
          <w:szCs w:val="32"/>
        </w:rPr>
        <w:t>个，截止2019年12月31日单位固定资产原值为2，499，886.37元。</w:t>
      </w:r>
    </w:p>
    <w:p>
      <w:pPr>
        <w:pStyle w:val="3"/>
        <w:spacing w:before="0" w:after="0" w:line="600" w:lineRule="exact"/>
        <w:ind w:firstLine="643" w:firstLineChars="200"/>
        <w:rPr>
          <w:rFonts w:ascii="黑体" w:hAnsi="黑体" w:eastAsia="黑体"/>
          <w:color w:val="000000"/>
          <w:sz w:val="32"/>
          <w:szCs w:val="32"/>
        </w:rPr>
      </w:pPr>
      <w:bookmarkStart w:id="17" w:name="_Toc54790332"/>
      <w:r>
        <w:rPr>
          <w:rFonts w:hint="eastAsia" w:ascii="黑体" w:hAnsi="黑体" w:eastAsia="黑体"/>
          <w:color w:val="000000"/>
          <w:sz w:val="32"/>
          <w:szCs w:val="32"/>
        </w:rPr>
        <w:t>二</w:t>
      </w:r>
      <w:r>
        <w:rPr>
          <w:rFonts w:ascii="黑体" w:hAnsi="黑体" w:eastAsia="黑体"/>
          <w:color w:val="000000"/>
          <w:sz w:val="32"/>
          <w:szCs w:val="32"/>
        </w:rPr>
        <w:t>、</w:t>
      </w:r>
      <w:r>
        <w:rPr>
          <w:rFonts w:hint="eastAsia" w:ascii="黑体" w:hAnsi="黑体" w:eastAsia="黑体"/>
          <w:color w:val="000000"/>
          <w:sz w:val="32"/>
          <w:szCs w:val="32"/>
        </w:rPr>
        <w:t>绩效目标</w:t>
      </w:r>
      <w:bookmarkEnd w:id="17"/>
    </w:p>
    <w:p>
      <w:pPr>
        <w:pStyle w:val="4"/>
        <w:spacing w:before="0" w:after="0" w:line="360" w:lineRule="auto"/>
        <w:ind w:firstLine="643" w:firstLineChars="200"/>
        <w:rPr>
          <w:rFonts w:ascii="楷体_GB2312" w:hAnsi="华文楷体" w:eastAsia="楷体_GB2312" w:cs="Times New Roman"/>
          <w:color w:val="000000"/>
        </w:rPr>
      </w:pPr>
      <w:bookmarkStart w:id="18" w:name="_Toc54790333"/>
      <w:r>
        <w:rPr>
          <w:rFonts w:ascii="楷体_GB2312" w:hAnsi="华文楷体" w:eastAsia="楷体_GB2312" w:cs="Times New Roman"/>
          <w:color w:val="000000"/>
        </w:rPr>
        <w:t>（一）</w:t>
      </w:r>
      <w:r>
        <w:rPr>
          <w:rFonts w:ascii="楷体_GB2312" w:eastAsia="楷体_GB2312" w:cs="Times New Roman"/>
          <w:color w:val="000000"/>
        </w:rPr>
        <w:t>总体目标</w:t>
      </w:r>
      <w:bookmarkEnd w:id="18"/>
    </w:p>
    <w:p>
      <w:pPr>
        <w:spacing w:line="360" w:lineRule="auto"/>
        <w:ind w:firstLine="640" w:firstLineChars="200"/>
        <w:rPr>
          <w:rStyle w:val="43"/>
          <w:rFonts w:hint="default" w:hAnsi="Arial Narrow"/>
          <w:szCs w:val="32"/>
        </w:rPr>
      </w:pPr>
      <w:r>
        <w:rPr>
          <w:rFonts w:hint="eastAsia" w:ascii="仿宋_GB2312" w:hAnsi="Arial Narrow" w:eastAsia="仿宋_GB2312"/>
          <w:sz w:val="32"/>
          <w:szCs w:val="32"/>
        </w:rPr>
        <w:t>紧扣党中央、国务院和省委、省政府各项决策部署，牢固树立创新、协调、绿色、开放、共享的发展理念，着力谋良策、出实招，全力推动各项决策部署落地见效；密切关注国家宏观调控政策最新动态，加强宏观经济形势分析研判，围绕去产能、去库存、去杠杆、降成本、补短板和供给侧结构性改革等重大事项深入开展调查研究，提出有针对性、可操作性和高质量、高水平的决策建议；抓牢主线求实效，坚持一切工作服务和服从于稳增长，推动我县稳增长政策措施落到实处，协助县政府领导重点抓好固定资产投资、工业经济发展、招商引资等方面目标任务落实的督促检查，及时协调解决稳增长中的困难和问题；跟踪落实好县领导赴国家有关部委和单位衔接汇报确定的事项，力促已经明确的事项快速有效推进。落实2019年省委各项重大改革任务。</w:t>
      </w:r>
    </w:p>
    <w:p>
      <w:pPr>
        <w:pStyle w:val="4"/>
        <w:spacing w:before="0" w:after="0" w:line="360" w:lineRule="auto"/>
        <w:ind w:firstLine="643" w:firstLineChars="200"/>
        <w:rPr>
          <w:rFonts w:ascii="楷体_GB2312" w:hAnsi="华文楷体" w:eastAsia="楷体_GB2312" w:cs="Times New Roman"/>
          <w:color w:val="000000"/>
        </w:rPr>
      </w:pPr>
      <w:bookmarkStart w:id="19" w:name="_Toc54790334"/>
      <w:r>
        <w:rPr>
          <w:rFonts w:ascii="楷体_GB2312" w:hAnsi="华文楷体" w:eastAsia="楷体_GB2312" w:cs="Times New Roman"/>
          <w:color w:val="000000"/>
        </w:rPr>
        <w:t>（</w:t>
      </w:r>
      <w:r>
        <w:rPr>
          <w:rFonts w:hint="eastAsia" w:ascii="楷体_GB2312" w:hAnsi="华文楷体" w:eastAsia="楷体_GB2312" w:cs="Times New Roman"/>
          <w:color w:val="000000"/>
        </w:rPr>
        <w:t>二</w:t>
      </w:r>
      <w:r>
        <w:rPr>
          <w:rFonts w:ascii="楷体_GB2312" w:hAnsi="华文楷体" w:eastAsia="楷体_GB2312" w:cs="Times New Roman"/>
          <w:color w:val="000000"/>
        </w:rPr>
        <w:t>）</w:t>
      </w:r>
      <w:r>
        <w:rPr>
          <w:rFonts w:ascii="楷体_GB2312" w:eastAsia="楷体_GB2312" w:cs="Times New Roman"/>
          <w:color w:val="000000"/>
        </w:rPr>
        <w:t>年度目标</w:t>
      </w:r>
      <w:bookmarkEnd w:id="19"/>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1.</w:t>
      </w:r>
      <w:r>
        <w:rPr>
          <w:rFonts w:ascii="仿宋_GB2312" w:hAnsi="Arial Narrow" w:eastAsia="仿宋_GB2312"/>
          <w:sz w:val="32"/>
          <w:szCs w:val="32"/>
        </w:rPr>
        <w:t>紧盯</w:t>
      </w:r>
      <w:r>
        <w:rPr>
          <w:rFonts w:hint="eastAsia" w:ascii="仿宋_GB2312" w:hAnsi="Arial Narrow" w:eastAsia="仿宋_GB2312"/>
          <w:sz w:val="32"/>
          <w:szCs w:val="32"/>
        </w:rPr>
        <w:t>经济</w:t>
      </w:r>
      <w:r>
        <w:rPr>
          <w:rFonts w:ascii="仿宋_GB2312" w:hAnsi="Arial Narrow" w:eastAsia="仿宋_GB2312"/>
          <w:sz w:val="32"/>
          <w:szCs w:val="32"/>
        </w:rPr>
        <w:t>目标狠抓落实</w:t>
      </w:r>
      <w:r>
        <w:rPr>
          <w:rFonts w:hint="eastAsia" w:ascii="仿宋_GB2312" w:hAnsi="Arial Narrow" w:eastAsia="仿宋_GB2312"/>
          <w:sz w:val="32"/>
          <w:szCs w:val="32"/>
        </w:rPr>
        <w:t>。</w:t>
      </w:r>
      <w:r>
        <w:rPr>
          <w:rFonts w:ascii="仿宋_GB2312" w:hAnsi="Arial Narrow" w:eastAsia="仿宋_GB2312"/>
          <w:sz w:val="32"/>
          <w:szCs w:val="32"/>
        </w:rPr>
        <w:t>2019年预计实现工业总产值49亿元，同比增长18.07%</w:t>
      </w:r>
      <w:r>
        <w:rPr>
          <w:rFonts w:hint="eastAsia" w:ascii="仿宋_GB2312" w:hAnsi="Arial Narrow" w:eastAsia="仿宋_GB2312"/>
          <w:sz w:val="32"/>
          <w:szCs w:val="32"/>
        </w:rPr>
        <w:t>；</w:t>
      </w:r>
      <w:r>
        <w:rPr>
          <w:rFonts w:ascii="仿宋_GB2312" w:hAnsi="Arial Narrow" w:eastAsia="仿宋_GB2312"/>
          <w:sz w:val="32"/>
          <w:szCs w:val="32"/>
        </w:rPr>
        <w:t>增加值26亿元，同比增长41.3%；主营业务收入30.3亿元，同比增长12.22%；固定资产4.5亿元，同比增长104.5%；利税12.4亿元，同比增长12.73%。达规企业2户的目标任务。</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2.抓实</w:t>
      </w:r>
      <w:r>
        <w:rPr>
          <w:rFonts w:ascii="仿宋_GB2312" w:hAnsi="Arial Narrow" w:eastAsia="仿宋_GB2312"/>
          <w:sz w:val="32"/>
          <w:szCs w:val="32"/>
        </w:rPr>
        <w:t>基础设施建设</w:t>
      </w:r>
      <w:r>
        <w:rPr>
          <w:rFonts w:hint="eastAsia" w:ascii="仿宋_GB2312" w:hAnsi="Arial Narrow" w:eastAsia="仿宋_GB2312"/>
          <w:sz w:val="32"/>
          <w:szCs w:val="32"/>
        </w:rPr>
        <w:t>。</w:t>
      </w:r>
      <w:r>
        <w:rPr>
          <w:rFonts w:ascii="仿宋_GB2312" w:hAnsi="Arial Narrow" w:eastAsia="仿宋_GB2312"/>
          <w:sz w:val="32"/>
          <w:szCs w:val="32"/>
        </w:rPr>
        <w:t>借助园区</w:t>
      </w:r>
      <w:r>
        <w:rPr>
          <w:rFonts w:hint="eastAsia" w:ascii="仿宋_GB2312" w:hAnsi="Arial Narrow" w:eastAsia="仿宋_GB2312"/>
          <w:sz w:val="32"/>
          <w:szCs w:val="32"/>
        </w:rPr>
        <w:t>投资开发建设有限</w:t>
      </w:r>
      <w:r>
        <w:rPr>
          <w:rFonts w:ascii="仿宋_GB2312" w:hAnsi="Arial Narrow" w:eastAsia="仿宋_GB2312"/>
          <w:sz w:val="32"/>
          <w:szCs w:val="32"/>
        </w:rPr>
        <w:t>公司，吸纳各方资金，</w:t>
      </w:r>
      <w:r>
        <w:rPr>
          <w:rFonts w:hint="eastAsia" w:ascii="仿宋_GB2312" w:hAnsi="Arial Narrow" w:eastAsia="仿宋_GB2312"/>
          <w:sz w:val="32"/>
          <w:szCs w:val="32"/>
        </w:rPr>
        <w:t>加快</w:t>
      </w:r>
      <w:r>
        <w:rPr>
          <w:rFonts w:ascii="仿宋_GB2312" w:hAnsi="Arial Narrow" w:eastAsia="仿宋_GB2312"/>
          <w:sz w:val="32"/>
          <w:szCs w:val="32"/>
        </w:rPr>
        <w:t>推进园区基础设施及配套项目建设，完善园区路网、电网、水网等基础设施网，努力营造园区良好的投资环境。</w:t>
      </w:r>
      <w:r>
        <w:rPr>
          <w:rFonts w:hint="eastAsia" w:ascii="仿宋_GB2312" w:hAnsi="Arial Narrow" w:eastAsia="仿宋_GB2312"/>
          <w:sz w:val="32"/>
          <w:szCs w:val="32"/>
        </w:rPr>
        <w:t xml:space="preserve"> </w:t>
      </w:r>
    </w:p>
    <w:p>
      <w:pPr>
        <w:ind w:firstLine="640" w:firstLineChars="200"/>
        <w:rPr>
          <w:rFonts w:ascii="仿宋_GB2312" w:hAnsi="Arial Narrow" w:eastAsia="仿宋_GB2312"/>
          <w:sz w:val="32"/>
          <w:szCs w:val="32"/>
        </w:rPr>
      </w:pPr>
      <w:r>
        <w:rPr>
          <w:rFonts w:hint="eastAsia" w:ascii="仿宋_GB2312" w:hAnsi="Arial Narrow" w:eastAsia="仿宋_GB2312"/>
          <w:sz w:val="32"/>
          <w:szCs w:val="32"/>
        </w:rPr>
        <w:t>3.</w:t>
      </w:r>
      <w:r>
        <w:rPr>
          <w:rFonts w:ascii="仿宋_GB2312" w:hAnsi="Arial Narrow" w:eastAsia="仿宋_GB2312"/>
          <w:sz w:val="32"/>
          <w:szCs w:val="32"/>
        </w:rPr>
        <w:t>做优招商引资</w:t>
      </w:r>
      <w:r>
        <w:rPr>
          <w:rFonts w:hint="eastAsia" w:ascii="仿宋_GB2312" w:hAnsi="Arial Narrow" w:eastAsia="仿宋_GB2312"/>
          <w:sz w:val="32"/>
          <w:szCs w:val="32"/>
        </w:rPr>
        <w:t>。</w:t>
      </w:r>
      <w:r>
        <w:rPr>
          <w:rFonts w:ascii="仿宋_GB2312" w:hAnsi="Arial Narrow" w:eastAsia="仿宋_GB2312"/>
          <w:sz w:val="32"/>
          <w:szCs w:val="32"/>
        </w:rPr>
        <w:t>立足本地资源和园区已具备的产业基础优势，着力引进影响深、规模大、带动强的优质企业入园建厂，鼓励园区内企业与大公司、大集团合作共赢，鼓励大企业引进配套企业落户工业园区，增强园区综合竞争力。</w:t>
      </w:r>
    </w:p>
    <w:p>
      <w:pPr>
        <w:spacing w:line="580" w:lineRule="exact"/>
        <w:ind w:firstLine="640" w:firstLineChars="200"/>
        <w:rPr>
          <w:rFonts w:ascii="仿宋_GB2312" w:hAnsi="Arial Narrow" w:eastAsia="仿宋_GB2312"/>
          <w:sz w:val="32"/>
          <w:szCs w:val="32"/>
        </w:rPr>
      </w:pPr>
      <w:r>
        <w:rPr>
          <w:rFonts w:hint="eastAsia" w:ascii="仿宋_GB2312" w:hAnsi="Arial Narrow" w:eastAsia="仿宋_GB2312"/>
          <w:sz w:val="32"/>
          <w:szCs w:val="32"/>
        </w:rPr>
        <w:t>4.</w:t>
      </w:r>
      <w:r>
        <w:rPr>
          <w:rFonts w:ascii="仿宋_GB2312" w:hAnsi="Arial Narrow" w:eastAsia="仿宋_GB2312"/>
          <w:sz w:val="32"/>
          <w:szCs w:val="32"/>
        </w:rPr>
        <w:t>大力推进产业发展</w:t>
      </w:r>
      <w:r>
        <w:rPr>
          <w:rFonts w:hint="eastAsia" w:ascii="仿宋_GB2312" w:hAnsi="Arial Narrow" w:eastAsia="仿宋_GB2312"/>
          <w:sz w:val="32"/>
          <w:szCs w:val="32"/>
        </w:rPr>
        <w:t>。</w:t>
      </w:r>
      <w:r>
        <w:rPr>
          <w:rFonts w:ascii="仿宋_GB2312" w:hAnsi="Arial Narrow" w:eastAsia="仿宋_GB2312"/>
          <w:sz w:val="32"/>
          <w:szCs w:val="32"/>
        </w:rPr>
        <w:t>一是依托勐海的农业优势，在具有优势的绿色食品和特色产品加工上狠下功夫，做大做强现有龙头企业，着力发展新兴龙头企业，形成规模，创出品牌，形成独具特色的农业产业化集群。二是大力支持龙头企业开展技术研发，延长农副产品加工的产业链，促进优势产业集群发展，形成效应，带动区域经济整体发展。</w:t>
      </w:r>
    </w:p>
    <w:p>
      <w:pPr>
        <w:autoSpaceDN w:val="0"/>
        <w:adjustRightInd w:val="0"/>
        <w:snapToGrid w:val="0"/>
        <w:spacing w:line="580" w:lineRule="exact"/>
        <w:ind w:firstLine="640" w:firstLineChars="200"/>
        <w:rPr>
          <w:rFonts w:ascii="仿宋_GB2312" w:hAnsi="Arial Narrow" w:eastAsia="仿宋_GB2312"/>
          <w:sz w:val="32"/>
          <w:szCs w:val="32"/>
        </w:rPr>
      </w:pPr>
      <w:r>
        <w:rPr>
          <w:rFonts w:hint="eastAsia" w:ascii="仿宋_GB2312" w:hAnsi="Arial Narrow" w:eastAsia="仿宋_GB2312"/>
          <w:sz w:val="32"/>
          <w:szCs w:val="32"/>
        </w:rPr>
        <w:t>5.</w:t>
      </w:r>
      <w:r>
        <w:rPr>
          <w:rFonts w:ascii="仿宋_GB2312" w:hAnsi="Arial Narrow" w:eastAsia="仿宋_GB2312"/>
          <w:sz w:val="32"/>
          <w:szCs w:val="32"/>
        </w:rPr>
        <w:t>提升服务质量</w:t>
      </w:r>
      <w:r>
        <w:rPr>
          <w:rFonts w:hint="eastAsia" w:ascii="仿宋_GB2312" w:hAnsi="Arial Narrow" w:eastAsia="仿宋_GB2312"/>
          <w:sz w:val="32"/>
          <w:szCs w:val="32"/>
        </w:rPr>
        <w:t>。</w:t>
      </w:r>
      <w:r>
        <w:rPr>
          <w:rFonts w:ascii="仿宋_GB2312" w:hAnsi="Arial Narrow" w:eastAsia="仿宋_GB2312"/>
          <w:sz w:val="32"/>
          <w:szCs w:val="32"/>
        </w:rPr>
        <w:t>一是积极协调好县级相关职能部门，优化服务质量，进一步提高服务效率，改变工作作风，及时解决项目建设中出现的问题，营造良好的服务环境。二是多渠道解决项目建设用地，着力解决项目落地难问题。积极做好项目协调服务工作，加快推进项目前期工作，确保项目尽早建成投产，进一步扩大园区经济总量，实现工业园区可持续发展。三是继续抓好企业升规培育。鼓励和引导企业做大做强，加快技术创新步伐，积极推进符合条件的企业升规。</w:t>
      </w:r>
    </w:p>
    <w:p>
      <w:pPr>
        <w:autoSpaceDN w:val="0"/>
        <w:adjustRightInd w:val="0"/>
        <w:snapToGrid w:val="0"/>
        <w:spacing w:line="580" w:lineRule="exact"/>
        <w:ind w:firstLine="630"/>
        <w:rPr>
          <w:rFonts w:ascii="仿宋_GB2312" w:hAnsi="Arial Narrow" w:eastAsia="仿宋_GB2312"/>
          <w:sz w:val="32"/>
          <w:szCs w:val="32"/>
        </w:rPr>
      </w:pPr>
      <w:r>
        <w:rPr>
          <w:rFonts w:hint="eastAsia" w:ascii="仿宋_GB2312" w:hAnsi="Arial Narrow" w:eastAsia="仿宋_GB2312"/>
          <w:sz w:val="32"/>
          <w:szCs w:val="32"/>
        </w:rPr>
        <w:t>6.进一步抓好年度目标责任考核工作。</w:t>
      </w:r>
    </w:p>
    <w:p>
      <w:pPr>
        <w:autoSpaceDN w:val="0"/>
        <w:adjustRightInd w:val="0"/>
        <w:snapToGrid w:val="0"/>
        <w:spacing w:line="580" w:lineRule="exact"/>
        <w:ind w:firstLine="640" w:firstLineChars="200"/>
        <w:rPr>
          <w:rFonts w:ascii="仿宋_GB2312" w:hAnsi="Arial Narrow" w:eastAsia="仿宋_GB2312"/>
          <w:sz w:val="32"/>
          <w:szCs w:val="32"/>
        </w:rPr>
      </w:pPr>
      <w:r>
        <w:rPr>
          <w:rFonts w:hint="eastAsia" w:ascii="仿宋_GB2312" w:hAnsi="Arial Narrow" w:eastAsia="仿宋_GB2312"/>
          <w:sz w:val="32"/>
          <w:szCs w:val="32"/>
        </w:rPr>
        <w:t>一是党风廉政建设和反腐败工作。要抓好学习常态化，</w:t>
      </w:r>
      <w:r>
        <w:rPr>
          <w:rFonts w:ascii="仿宋_GB2312" w:hAnsi="Arial Narrow" w:eastAsia="仿宋_GB2312"/>
          <w:sz w:val="32"/>
          <w:szCs w:val="32"/>
        </w:rPr>
        <w:t>认真组织勐海工业园区管委会全体干部职工学习有关政策法规</w:t>
      </w:r>
      <w:r>
        <w:rPr>
          <w:rFonts w:hint="eastAsia" w:ascii="仿宋_GB2312" w:hAnsi="Arial Narrow" w:eastAsia="仿宋_GB2312"/>
          <w:sz w:val="32"/>
          <w:szCs w:val="32"/>
        </w:rPr>
        <w:t>、</w:t>
      </w:r>
      <w:r>
        <w:rPr>
          <w:rFonts w:ascii="仿宋_GB2312" w:hAnsi="Arial Narrow" w:eastAsia="仿宋_GB2312"/>
          <w:sz w:val="32"/>
          <w:szCs w:val="32"/>
        </w:rPr>
        <w:t>县纪委有关会议精神</w:t>
      </w:r>
      <w:r>
        <w:rPr>
          <w:rFonts w:hint="eastAsia" w:ascii="仿宋_GB2312" w:hAnsi="Arial Narrow" w:eastAsia="仿宋_GB2312"/>
          <w:sz w:val="32"/>
          <w:szCs w:val="32"/>
        </w:rPr>
        <w:t>、</w:t>
      </w:r>
      <w:r>
        <w:rPr>
          <w:rFonts w:ascii="仿宋_GB2312" w:hAnsi="Arial Narrow" w:eastAsia="仿宋_GB2312"/>
          <w:sz w:val="32"/>
          <w:szCs w:val="32"/>
        </w:rPr>
        <w:t>以及业务知识，加强干部队伍自身建设。采取行之有效、生动活泼的教育方式，通过开展学习讨论、观看警示教育片等活动，不断提高其政治思想水平、业务技术水平，增强服务意识和工作能力，以及防腐意识和抵御不正之风的能力，全面加强勐海工业园区管委会的自身建设。</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二</w:t>
      </w:r>
      <w:r>
        <w:rPr>
          <w:rFonts w:ascii="仿宋_GB2312" w:hAnsi="Arial Narrow" w:eastAsia="仿宋_GB2312"/>
          <w:sz w:val="32"/>
          <w:szCs w:val="32"/>
        </w:rPr>
        <w:t>是</w:t>
      </w:r>
      <w:r>
        <w:rPr>
          <w:rFonts w:hint="eastAsia" w:ascii="仿宋_GB2312" w:hAnsi="Arial Narrow" w:eastAsia="仿宋_GB2312"/>
          <w:sz w:val="32"/>
          <w:szCs w:val="32"/>
        </w:rPr>
        <w:t>党建工作。</w:t>
      </w:r>
      <w:r>
        <w:rPr>
          <w:rFonts w:ascii="仿宋_GB2312" w:hAnsi="Arial Narrow" w:eastAsia="仿宋_GB2312"/>
          <w:sz w:val="32"/>
          <w:szCs w:val="32"/>
        </w:rPr>
        <w:t>要开展“双报到双服务”活动。园区机关党支部</w:t>
      </w:r>
      <w:r>
        <w:rPr>
          <w:rFonts w:hint="eastAsia" w:ascii="仿宋_GB2312" w:hAnsi="Arial Narrow" w:eastAsia="仿宋_GB2312"/>
          <w:sz w:val="32"/>
          <w:szCs w:val="32"/>
        </w:rPr>
        <w:t>要</w:t>
      </w:r>
      <w:r>
        <w:rPr>
          <w:rFonts w:ascii="仿宋_GB2312" w:hAnsi="Arial Narrow" w:eastAsia="仿宋_GB2312"/>
          <w:sz w:val="32"/>
          <w:szCs w:val="32"/>
        </w:rPr>
        <w:t>及时了解了</w:t>
      </w:r>
      <w:r>
        <w:rPr>
          <w:rFonts w:hint="eastAsia" w:ascii="仿宋_GB2312" w:hAnsi="Arial Narrow" w:eastAsia="仿宋_GB2312"/>
          <w:sz w:val="32"/>
          <w:szCs w:val="32"/>
        </w:rPr>
        <w:t>企业</w:t>
      </w:r>
      <w:r>
        <w:rPr>
          <w:rFonts w:ascii="仿宋_GB2312" w:hAnsi="Arial Narrow" w:eastAsia="仿宋_GB2312"/>
          <w:sz w:val="32"/>
          <w:szCs w:val="32"/>
        </w:rPr>
        <w:t>需求，不断丰富服务内容，创新服务形式，提升服务效果，以展示党员形象、密切党群干群关系、提升党的凝聚力和影响力。及时总结活动中的好做法、好经验，及时发现活动中的好典型、好榜样，积极进行宣传推介，扩大活动影响，增强了园区机关党员服务群众的热情，做到了全面覆盖、双向互动、群众满意</w:t>
      </w:r>
      <w:r>
        <w:rPr>
          <w:rFonts w:hint="eastAsia" w:ascii="仿宋_GB2312" w:hAnsi="Arial Narrow" w:eastAsia="仿宋_GB2312"/>
          <w:sz w:val="32"/>
          <w:szCs w:val="32"/>
        </w:rPr>
        <w:t>。</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三是</w:t>
      </w:r>
      <w:r>
        <w:rPr>
          <w:rFonts w:ascii="仿宋_GB2312" w:hAnsi="Arial Narrow" w:eastAsia="仿宋_GB2312"/>
          <w:sz w:val="32"/>
          <w:szCs w:val="32"/>
        </w:rPr>
        <w:t>法治建设和依法行政工作</w:t>
      </w:r>
      <w:r>
        <w:rPr>
          <w:rFonts w:hint="eastAsia" w:ascii="仿宋_GB2312" w:hAnsi="Arial Narrow" w:eastAsia="仿宋_GB2312"/>
          <w:sz w:val="32"/>
          <w:szCs w:val="32"/>
        </w:rPr>
        <w:t>。</w:t>
      </w:r>
      <w:r>
        <w:rPr>
          <w:rFonts w:ascii="仿宋_GB2312" w:hAnsi="Arial Narrow" w:eastAsia="仿宋_GB2312"/>
          <w:sz w:val="32"/>
          <w:szCs w:val="32"/>
        </w:rPr>
        <w:t>贯彻国家、省、州、县</w:t>
      </w:r>
      <w:r>
        <w:rPr>
          <w:rFonts w:hint="eastAsia" w:ascii="仿宋_GB2312" w:hAnsi="Arial Narrow" w:eastAsia="仿宋_GB2312"/>
          <w:sz w:val="32"/>
          <w:szCs w:val="32"/>
        </w:rPr>
        <w:t>法治</w:t>
      </w:r>
      <w:r>
        <w:rPr>
          <w:rFonts w:ascii="仿宋_GB2312" w:hAnsi="Arial Narrow" w:eastAsia="仿宋_GB2312"/>
          <w:sz w:val="32"/>
          <w:szCs w:val="32"/>
        </w:rPr>
        <w:t>工作</w:t>
      </w:r>
      <w:r>
        <w:rPr>
          <w:rFonts w:hint="eastAsia" w:ascii="仿宋_GB2312" w:hAnsi="Arial Narrow" w:eastAsia="仿宋_GB2312"/>
          <w:sz w:val="32"/>
          <w:szCs w:val="32"/>
        </w:rPr>
        <w:t>精神</w:t>
      </w:r>
      <w:r>
        <w:rPr>
          <w:rFonts w:ascii="仿宋_GB2312" w:hAnsi="Arial Narrow" w:eastAsia="仿宋_GB2312"/>
          <w:sz w:val="32"/>
          <w:szCs w:val="32"/>
        </w:rPr>
        <w:t>，深入开展形式多样的宣传活动，积极开展法治文化基层行活动。</w:t>
      </w:r>
      <w:r>
        <w:rPr>
          <w:rFonts w:hint="eastAsia" w:ascii="仿宋_GB2312" w:hAnsi="Arial Narrow" w:eastAsia="仿宋_GB2312"/>
          <w:sz w:val="32"/>
          <w:szCs w:val="32"/>
        </w:rPr>
        <w:t>同时，</w:t>
      </w:r>
      <w:r>
        <w:rPr>
          <w:rFonts w:ascii="仿宋_GB2312" w:hAnsi="Arial Narrow" w:eastAsia="仿宋_GB2312"/>
          <w:sz w:val="32"/>
          <w:szCs w:val="32"/>
        </w:rPr>
        <w:t>制定“七五”普法实施方案，按照方案认真开展活动。</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四是综治维稳及平安创建工作。进一步</w:t>
      </w:r>
      <w:r>
        <w:rPr>
          <w:rFonts w:ascii="仿宋_GB2312" w:hAnsi="Arial Narrow" w:eastAsia="仿宋_GB2312"/>
          <w:sz w:val="32"/>
          <w:szCs w:val="32"/>
        </w:rPr>
        <w:t>完善单位内部安全保卫管理制度和责任追究制度，落实要害部位安全防范责任和措施，对管委会宿舍区暂住的监理公司及茶都项目管理人口进行实名登记管理，做到底数清、情况明</w:t>
      </w:r>
      <w:r>
        <w:rPr>
          <w:rFonts w:hint="eastAsia" w:ascii="仿宋_GB2312" w:hAnsi="Arial Narrow" w:eastAsia="仿宋_GB2312"/>
          <w:sz w:val="32"/>
          <w:szCs w:val="32"/>
        </w:rPr>
        <w:t>。</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五是意识形态工作。要</w:t>
      </w:r>
      <w:r>
        <w:rPr>
          <w:rFonts w:ascii="仿宋_GB2312" w:hAnsi="Arial Narrow" w:eastAsia="仿宋_GB2312"/>
          <w:sz w:val="32"/>
          <w:szCs w:val="32"/>
        </w:rPr>
        <w:t>深入开展精神文明创建活动</w:t>
      </w:r>
      <w:r>
        <w:rPr>
          <w:rFonts w:hint="eastAsia" w:ascii="仿宋_GB2312" w:hAnsi="Arial Narrow" w:eastAsia="仿宋_GB2312"/>
          <w:sz w:val="32"/>
          <w:szCs w:val="32"/>
        </w:rPr>
        <w:t>，</w:t>
      </w:r>
      <w:r>
        <w:rPr>
          <w:rFonts w:ascii="仿宋_GB2312" w:hAnsi="Arial Narrow" w:eastAsia="仿宋_GB2312"/>
          <w:sz w:val="32"/>
          <w:szCs w:val="32"/>
        </w:rPr>
        <w:t>以社会主义核心价值</w:t>
      </w:r>
      <w:r>
        <w:rPr>
          <w:rFonts w:hint="eastAsia" w:ascii="仿宋_GB2312" w:hAnsi="Arial Narrow" w:eastAsia="仿宋_GB2312"/>
          <w:sz w:val="32"/>
          <w:szCs w:val="32"/>
        </w:rPr>
        <w:t>观</w:t>
      </w:r>
      <w:r>
        <w:rPr>
          <w:rFonts w:ascii="仿宋_GB2312" w:hAnsi="Arial Narrow" w:eastAsia="仿宋_GB2312"/>
          <w:sz w:val="32"/>
          <w:szCs w:val="32"/>
        </w:rPr>
        <w:t>为根本，切实加强公民道德建设，扎实推进</w:t>
      </w:r>
      <w:r>
        <w:rPr>
          <w:rFonts w:hint="eastAsia" w:ascii="仿宋_GB2312" w:hAnsi="Arial Narrow" w:eastAsia="仿宋_GB2312"/>
          <w:sz w:val="32"/>
          <w:szCs w:val="32"/>
        </w:rPr>
        <w:t>企业职工</w:t>
      </w:r>
      <w:r>
        <w:rPr>
          <w:rFonts w:ascii="仿宋_GB2312" w:hAnsi="Arial Narrow" w:eastAsia="仿宋_GB2312"/>
          <w:sz w:val="32"/>
          <w:szCs w:val="32"/>
        </w:rPr>
        <w:t>思想道德建设，深化群众性精神文明创建活动，着力建设和谐文化，培育文明新风尚，为继续解放思想、改革开放、推动科学发展、促进社会和谐，营造文明的社会大环境</w:t>
      </w:r>
      <w:r>
        <w:rPr>
          <w:rFonts w:hint="eastAsia" w:ascii="仿宋_GB2312" w:hAnsi="Arial Narrow" w:eastAsia="仿宋_GB2312"/>
          <w:sz w:val="32"/>
          <w:szCs w:val="32"/>
        </w:rPr>
        <w:t>。</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六是政务信息和政务公开工作。</w:t>
      </w:r>
      <w:r>
        <w:rPr>
          <w:rFonts w:ascii="仿宋_GB2312" w:hAnsi="Arial Narrow" w:eastAsia="仿宋_GB2312"/>
          <w:sz w:val="32"/>
          <w:szCs w:val="32"/>
        </w:rPr>
        <w:t>加强</w:t>
      </w:r>
      <w:r>
        <w:rPr>
          <w:rFonts w:hint="eastAsia" w:ascii="仿宋_GB2312" w:hAnsi="Arial Narrow" w:eastAsia="仿宋_GB2312"/>
          <w:sz w:val="32"/>
          <w:szCs w:val="32"/>
        </w:rPr>
        <w:t>政务</w:t>
      </w:r>
      <w:r>
        <w:rPr>
          <w:rFonts w:ascii="仿宋_GB2312" w:hAnsi="Arial Narrow" w:eastAsia="仿宋_GB2312"/>
          <w:sz w:val="32"/>
          <w:szCs w:val="32"/>
        </w:rPr>
        <w:t>管理，促进政府网站平台不断完善</w:t>
      </w:r>
      <w:r>
        <w:rPr>
          <w:rFonts w:hint="eastAsia" w:ascii="仿宋_GB2312" w:hAnsi="Arial Narrow" w:eastAsia="仿宋_GB2312"/>
          <w:sz w:val="32"/>
          <w:szCs w:val="32"/>
        </w:rPr>
        <w:t>，</w:t>
      </w:r>
      <w:r>
        <w:rPr>
          <w:rFonts w:ascii="仿宋_GB2312" w:hAnsi="Arial Narrow" w:eastAsia="仿宋_GB2312"/>
          <w:sz w:val="32"/>
          <w:szCs w:val="32"/>
        </w:rPr>
        <w:t>不断提升政府信息公开“第一平台”功能，加强</w:t>
      </w:r>
      <w:r>
        <w:rPr>
          <w:rFonts w:hint="eastAsia" w:ascii="仿宋_GB2312" w:hAnsi="Arial Narrow" w:eastAsia="仿宋_GB2312"/>
          <w:sz w:val="32"/>
          <w:szCs w:val="32"/>
        </w:rPr>
        <w:t>园</w:t>
      </w:r>
      <w:r>
        <w:rPr>
          <w:rFonts w:ascii="仿宋_GB2312" w:hAnsi="Arial Narrow" w:eastAsia="仿宋_GB2312"/>
          <w:sz w:val="32"/>
          <w:szCs w:val="32"/>
        </w:rPr>
        <w:t>区管委会重点工作进展和完成</w:t>
      </w:r>
      <w:r>
        <w:rPr>
          <w:rFonts w:hint="eastAsia" w:ascii="仿宋_GB2312" w:hAnsi="Arial Narrow" w:eastAsia="仿宋_GB2312"/>
          <w:sz w:val="32"/>
          <w:szCs w:val="32"/>
        </w:rPr>
        <w:t>政务</w:t>
      </w:r>
      <w:r>
        <w:rPr>
          <w:rFonts w:ascii="仿宋_GB2312" w:hAnsi="Arial Narrow" w:eastAsia="仿宋_GB2312"/>
          <w:sz w:val="32"/>
          <w:szCs w:val="32"/>
        </w:rPr>
        <w:t>信息的发布，及时完善和更新政府信息公开网站栏目</w:t>
      </w:r>
      <w:r>
        <w:rPr>
          <w:rFonts w:hint="eastAsia" w:ascii="仿宋_GB2312" w:hAnsi="Arial Narrow" w:eastAsia="仿宋_GB2312"/>
          <w:sz w:val="32"/>
          <w:szCs w:val="32"/>
        </w:rPr>
        <w:t>及</w:t>
      </w:r>
      <w:r>
        <w:rPr>
          <w:rFonts w:ascii="仿宋_GB2312" w:hAnsi="Arial Narrow" w:eastAsia="仿宋_GB2312"/>
          <w:sz w:val="32"/>
          <w:szCs w:val="32"/>
        </w:rPr>
        <w:t>内容</w:t>
      </w:r>
      <w:r>
        <w:rPr>
          <w:rFonts w:hint="eastAsia" w:ascii="仿宋_GB2312" w:hAnsi="Arial Narrow" w:eastAsia="仿宋_GB2312"/>
          <w:sz w:val="32"/>
          <w:szCs w:val="32"/>
        </w:rPr>
        <w:t>。</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七是禁毒工作。</w:t>
      </w:r>
      <w:r>
        <w:rPr>
          <w:rFonts w:ascii="仿宋_GB2312" w:hAnsi="Arial Narrow" w:eastAsia="仿宋_GB2312"/>
          <w:sz w:val="32"/>
          <w:szCs w:val="32"/>
        </w:rPr>
        <w:t>深化禁毒预防宣传教育活动。把宣传引导和预防教育作为重点来抓，把《禁毒法》纳入普法教育的重点内容，要以园区企业为重点，以开展“不让毒品进园区”、“不让毒品进企业”等多种多样活动为载体，扎实推动宣传“六进”活动。</w:t>
      </w:r>
    </w:p>
    <w:p>
      <w:pPr>
        <w:spacing w:line="360" w:lineRule="auto"/>
        <w:ind w:firstLine="640" w:firstLineChars="200"/>
        <w:rPr>
          <w:rFonts w:hAnsi="Arial Narrow"/>
        </w:rPr>
      </w:pPr>
      <w:r>
        <w:rPr>
          <w:rFonts w:hint="eastAsia" w:ascii="仿宋_GB2312" w:hAnsi="Arial Narrow" w:eastAsia="仿宋_GB2312"/>
          <w:sz w:val="32"/>
          <w:szCs w:val="32"/>
        </w:rPr>
        <w:t>八是脱贫不脱钩，继续推进扶贫攻坚工作。</w:t>
      </w:r>
      <w:r>
        <w:rPr>
          <w:rFonts w:ascii="仿宋_GB2312" w:hAnsi="Arial Narrow" w:eastAsia="仿宋_GB2312"/>
          <w:sz w:val="32"/>
          <w:szCs w:val="32"/>
        </w:rPr>
        <w:t>要继续扶持产业发展</w:t>
      </w:r>
      <w:r>
        <w:rPr>
          <w:rFonts w:hint="eastAsia" w:ascii="仿宋_GB2312" w:hAnsi="Arial Narrow" w:eastAsia="仿宋_GB2312"/>
          <w:sz w:val="32"/>
          <w:szCs w:val="32"/>
        </w:rPr>
        <w:t>，</w:t>
      </w:r>
      <w:r>
        <w:rPr>
          <w:rFonts w:ascii="仿宋_GB2312" w:hAnsi="Arial Narrow" w:eastAsia="仿宋_GB2312"/>
          <w:sz w:val="32"/>
          <w:szCs w:val="32"/>
        </w:rPr>
        <w:t>加强政策支持，强化精准扶贫</w:t>
      </w:r>
      <w:r>
        <w:rPr>
          <w:rFonts w:hint="eastAsia" w:ascii="仿宋_GB2312" w:hAnsi="Arial Narrow" w:eastAsia="仿宋_GB2312"/>
          <w:sz w:val="32"/>
          <w:szCs w:val="32"/>
        </w:rPr>
        <w:t>，</w:t>
      </w:r>
      <w:r>
        <w:rPr>
          <w:rFonts w:ascii="仿宋_GB2312" w:hAnsi="Arial Narrow" w:eastAsia="仿宋_GB2312"/>
          <w:sz w:val="32"/>
          <w:szCs w:val="32"/>
        </w:rPr>
        <w:t>转变思想观念。要继续向贫困户宣传致富思路、做法，促使贫困户思想解放，激发贫困户自身发展动力，营造脱贫攻坚浓厚的社会氛围。</w:t>
      </w:r>
    </w:p>
    <w:p>
      <w:pPr>
        <w:pStyle w:val="3"/>
        <w:spacing w:before="0" w:after="0" w:line="600" w:lineRule="exact"/>
        <w:ind w:firstLine="643" w:firstLineChars="200"/>
        <w:rPr>
          <w:rFonts w:ascii="黑体" w:hAnsi="黑体" w:eastAsia="黑体"/>
          <w:color w:val="000000"/>
          <w:sz w:val="32"/>
          <w:szCs w:val="32"/>
        </w:rPr>
      </w:pPr>
      <w:bookmarkStart w:id="20" w:name="_Toc54790335"/>
      <w:r>
        <w:rPr>
          <w:rFonts w:hint="eastAsia" w:ascii="黑体" w:hAnsi="黑体" w:eastAsia="黑体"/>
          <w:color w:val="000000"/>
          <w:sz w:val="32"/>
          <w:szCs w:val="32"/>
        </w:rPr>
        <w:t>三</w:t>
      </w:r>
      <w:r>
        <w:rPr>
          <w:rFonts w:ascii="黑体" w:hAnsi="黑体" w:eastAsia="黑体"/>
          <w:color w:val="000000"/>
          <w:sz w:val="32"/>
          <w:szCs w:val="32"/>
        </w:rPr>
        <w:t>、</w:t>
      </w:r>
      <w:r>
        <w:rPr>
          <w:rFonts w:hint="eastAsia" w:ascii="黑体" w:hAnsi="黑体" w:eastAsia="黑体"/>
          <w:color w:val="000000"/>
          <w:sz w:val="32"/>
          <w:szCs w:val="32"/>
        </w:rPr>
        <w:t>评价思路</w:t>
      </w:r>
      <w:r>
        <w:rPr>
          <w:rFonts w:ascii="黑体" w:hAnsi="黑体" w:eastAsia="黑体"/>
          <w:color w:val="000000"/>
          <w:sz w:val="32"/>
          <w:szCs w:val="32"/>
        </w:rPr>
        <w:t>和过程</w:t>
      </w:r>
      <w:bookmarkEnd w:id="20"/>
    </w:p>
    <w:p>
      <w:pPr>
        <w:pStyle w:val="4"/>
        <w:spacing w:before="0" w:after="0" w:line="360" w:lineRule="auto"/>
        <w:ind w:firstLine="643" w:firstLineChars="200"/>
        <w:rPr>
          <w:rFonts w:ascii="楷体_GB2312" w:hAnsi="华文楷体" w:eastAsia="楷体_GB2312" w:cs="Times New Roman"/>
          <w:color w:val="000000"/>
        </w:rPr>
      </w:pPr>
      <w:bookmarkStart w:id="21" w:name="_Toc54790336"/>
      <w:r>
        <w:rPr>
          <w:rFonts w:ascii="楷体_GB2312" w:hAnsi="华文楷体" w:eastAsia="楷体_GB2312" w:cs="Times New Roman"/>
          <w:color w:val="000000"/>
        </w:rPr>
        <w:t>（一）</w:t>
      </w:r>
      <w:r>
        <w:rPr>
          <w:rFonts w:ascii="楷体_GB2312" w:eastAsia="楷体_GB2312" w:cs="Times New Roman"/>
          <w:color w:val="000000"/>
        </w:rPr>
        <w:t>评价思路</w:t>
      </w:r>
      <w:bookmarkEnd w:id="21"/>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围绕2019年度部门整体支出的绩效目标，梳理相关政府批复、部门内部管理制度等资料，通过分析绩效目标设定、指标设置、预算配置、预算管理、预算执行、部门履职、部门绩效各方面的科学性、针对性、合理性、准确性，确定部门整体支出的评价重点，如:重点项目管理过程是否规范、产出目标是否完成以及效果目标是否实现、对经济、社会及环境的贡献情况等方面的内容:构建绩效评价指标体系，设置四级指标体系并赋予相应的权重。</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1.评价指标体系制定遵循的原则</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根据《勐海县财政预算绩效管理暂行办法》（海财绩字〔2016〕16号），本次评价指标体系制定遵循相关性原则、重要性原则、可比性原则、经济性原则和系统性原则。</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2.评价指标体系</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本次</w:t>
      </w:r>
      <w:r>
        <w:rPr>
          <w:rFonts w:hint="eastAsia" w:ascii="仿宋_GB2312" w:hAnsi="仿宋" w:eastAsia="仿宋_GB2312"/>
          <w:sz w:val="32"/>
          <w:szCs w:val="32"/>
        </w:rPr>
        <w:t>勐海工业园区管理委员会</w:t>
      </w:r>
      <w:r>
        <w:rPr>
          <w:rStyle w:val="43"/>
          <w:rFonts w:hint="default" w:hAnsi="Mongolian Baiti" w:cs="Mongolian Baiti"/>
          <w:szCs w:val="32"/>
        </w:rPr>
        <w:t>部门整体支出绩效评价，设立四级评价指标体系，具体构成如下:</w:t>
      </w:r>
    </w:p>
    <w:p>
      <w:pPr>
        <w:spacing w:line="360" w:lineRule="auto"/>
        <w:ind w:firstLine="640" w:firstLineChars="200"/>
        <w:rPr>
          <w:rStyle w:val="43"/>
          <w:rFonts w:hint="default" w:hAnsi="Mongolian Baiti" w:cs="Mongolian Baiti"/>
          <w:color w:val="FF0000"/>
          <w:szCs w:val="32"/>
        </w:rPr>
      </w:pPr>
      <w:r>
        <w:rPr>
          <w:rStyle w:val="43"/>
          <w:rFonts w:hint="default" w:hAnsi="Mongolian Baiti" w:cs="Mongolian Baiti"/>
          <w:szCs w:val="32"/>
        </w:rPr>
        <w:t>一级指标由投入(占15%)、过程(占35%)、产出(占30%)和效果(占20%)4项构成，二级指标11项，三级指标43项，满分100分。</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3.评价的方法</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主要采用《财政支出绩效评价管理暂行办法》（财预〔2011〕285号）所确定的绩效评价方法，在实施过程中，根据</w:t>
      </w:r>
      <w:r>
        <w:rPr>
          <w:rFonts w:hint="eastAsia" w:ascii="仿宋_GB2312" w:hAnsi="仿宋" w:eastAsia="仿宋_GB2312"/>
          <w:sz w:val="32"/>
          <w:szCs w:val="32"/>
        </w:rPr>
        <w:t>勐海工业园区管理委员会</w:t>
      </w:r>
      <w:r>
        <w:rPr>
          <w:rFonts w:hint="eastAsia" w:ascii="仿宋_GB2312" w:hAnsi="Arial Narrow" w:eastAsia="仿宋_GB2312"/>
          <w:sz w:val="32"/>
          <w:szCs w:val="32"/>
        </w:rPr>
        <w:t>部门整体预算执行情况，主要采用比较法、因素分析法和公众评判法等，了解</w:t>
      </w:r>
      <w:r>
        <w:rPr>
          <w:rFonts w:hint="eastAsia" w:ascii="仿宋_GB2312" w:hAnsi="仿宋" w:eastAsia="仿宋_GB2312"/>
          <w:sz w:val="32"/>
          <w:szCs w:val="32"/>
        </w:rPr>
        <w:t>勐海工业园区管理委员会</w:t>
      </w:r>
      <w:r>
        <w:rPr>
          <w:rFonts w:hint="eastAsia" w:ascii="仿宋_GB2312" w:hAnsi="Arial Narrow" w:eastAsia="仿宋_GB2312"/>
          <w:sz w:val="32"/>
          <w:szCs w:val="32"/>
        </w:rPr>
        <w:t>在制度建设、资金使用管理、项目组织实施、项目跟踪、产出效果以及产生的社会、经济、环境效益、可持续发展、公众满意度等情况，对部门整体支出进行绩效评价。</w:t>
      </w:r>
    </w:p>
    <w:p>
      <w:pPr>
        <w:pStyle w:val="4"/>
        <w:spacing w:before="0" w:after="0" w:line="360" w:lineRule="auto"/>
        <w:ind w:firstLine="643" w:firstLineChars="200"/>
        <w:rPr>
          <w:rFonts w:ascii="楷体_GB2312" w:hAnsi="华文楷体" w:eastAsia="楷体_GB2312" w:cs="Times New Roman"/>
          <w:color w:val="000000"/>
        </w:rPr>
      </w:pPr>
      <w:bookmarkStart w:id="22" w:name="_Toc54790337"/>
      <w:r>
        <w:rPr>
          <w:rFonts w:hint="eastAsia" w:ascii="楷体_GB2312" w:hAnsi="华文楷体" w:eastAsia="楷体_GB2312" w:cs="Times New Roman"/>
          <w:color w:val="000000"/>
        </w:rPr>
        <w:t>(二)评价目的</w:t>
      </w:r>
      <w:bookmarkEnd w:id="22"/>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通过绩效评价，收集部门基本情况、预算制定与明细、部门中长期规划目标及组织架构等信息，掌握201</w:t>
      </w:r>
      <w:r>
        <w:rPr>
          <w:rFonts w:ascii="仿宋_GB2312" w:hAnsi="Arial Narrow" w:eastAsia="仿宋_GB2312"/>
          <w:sz w:val="32"/>
          <w:szCs w:val="32"/>
        </w:rPr>
        <w:t>9</w:t>
      </w:r>
      <w:r>
        <w:rPr>
          <w:rFonts w:hint="eastAsia" w:ascii="仿宋_GB2312" w:hAnsi="Arial Narrow" w:eastAsia="仿宋_GB2312"/>
          <w:sz w:val="32"/>
          <w:szCs w:val="32"/>
        </w:rPr>
        <w:t>年度</w:t>
      </w:r>
      <w:r>
        <w:rPr>
          <w:rFonts w:hint="eastAsia" w:ascii="仿宋_GB2312" w:hAnsi="仿宋" w:eastAsia="仿宋_GB2312"/>
          <w:sz w:val="32"/>
          <w:szCs w:val="32"/>
        </w:rPr>
        <w:t>勐海工业园区管理委员会</w:t>
      </w:r>
      <w:r>
        <w:rPr>
          <w:rFonts w:hint="eastAsia" w:ascii="仿宋_GB2312" w:hAnsi="Arial Narrow" w:eastAsia="仿宋_GB2312"/>
          <w:sz w:val="32"/>
          <w:szCs w:val="32"/>
        </w:rPr>
        <w:t>财政资金支出的年度绩效目标设定、工作进展、执行过程监督、财政资金到位、使用、管理及结余情况、财务及项目管理的制度建设、执行情况以及取得的成效，分析部门（单位）资源配置的合理性及中长期规划目标完成与履职情况，总结经验，找准问题，提出今后工作改进的意见和建议，不断提高财政资金使用效率和效益，为部门更好地履行部门职责、依法行政提供决策依据。</w:t>
      </w:r>
    </w:p>
    <w:p>
      <w:pPr>
        <w:pStyle w:val="4"/>
        <w:spacing w:before="0" w:after="0" w:line="360" w:lineRule="auto"/>
        <w:ind w:firstLine="643" w:firstLineChars="200"/>
        <w:rPr>
          <w:rFonts w:ascii="楷体_GB2312" w:hAnsi="华文楷体" w:eastAsia="楷体_GB2312" w:cs="Times New Roman"/>
          <w:color w:val="000000"/>
        </w:rPr>
      </w:pPr>
      <w:bookmarkStart w:id="23" w:name="_Toc54790338"/>
      <w:r>
        <w:rPr>
          <w:rFonts w:hint="eastAsia" w:ascii="楷体_GB2312" w:hAnsi="华文楷体" w:eastAsia="楷体_GB2312" w:cs="Times New Roman"/>
          <w:color w:val="000000"/>
        </w:rPr>
        <w:t>(三)评价依据</w:t>
      </w:r>
      <w:bookmarkEnd w:id="23"/>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1.《中华人民共和国预算法》；</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2.《中华人民共和国政府采购法》；</w:t>
      </w:r>
    </w:p>
    <w:p>
      <w:pPr>
        <w:spacing w:line="360" w:lineRule="auto"/>
        <w:ind w:firstLine="640" w:firstLineChars="200"/>
        <w:rPr>
          <w:rFonts w:ascii="仿宋_GB2312" w:hAnsi="Arial Narrow" w:eastAsia="仿宋_GB2312"/>
          <w:sz w:val="32"/>
          <w:szCs w:val="32"/>
        </w:rPr>
      </w:pPr>
      <w:r>
        <w:rPr>
          <w:rStyle w:val="43"/>
          <w:rFonts w:hint="default" w:hAnsi="Mongolian Baiti" w:cs="Mongolian Baiti"/>
          <w:szCs w:val="32"/>
        </w:rPr>
        <w:t>3.财政部《财政支出绩效评价管理哲行办法》</w:t>
      </w:r>
      <w:r>
        <w:rPr>
          <w:rFonts w:hint="eastAsia" w:ascii="仿宋_GB2312" w:hAnsi="Arial Narrow" w:eastAsia="仿宋_GB2312"/>
          <w:sz w:val="32"/>
          <w:szCs w:val="32"/>
        </w:rPr>
        <w:t>（财预〔2011〕285号）；</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4.勐海县财政预算绩效管理暂行办法》（海财绩字〔2016〕16号）；</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5.其他相关依据文件。</w:t>
      </w:r>
    </w:p>
    <w:p>
      <w:pPr>
        <w:pStyle w:val="4"/>
        <w:spacing w:before="0" w:after="0" w:line="360" w:lineRule="auto"/>
        <w:ind w:firstLine="643" w:firstLineChars="200"/>
        <w:rPr>
          <w:rFonts w:ascii="楷体_GB2312" w:hAnsi="华文楷体" w:eastAsia="楷体_GB2312" w:cs="Times New Roman"/>
          <w:color w:val="000000"/>
        </w:rPr>
      </w:pPr>
      <w:bookmarkStart w:id="24" w:name="_Toc54790339"/>
      <w:r>
        <w:rPr>
          <w:rFonts w:hint="eastAsia" w:ascii="楷体_GB2312" w:hAnsi="华文楷体" w:eastAsia="楷体_GB2312" w:cs="Times New Roman"/>
          <w:color w:val="000000"/>
        </w:rPr>
        <w:t>(四)评价对象及评价时段</w:t>
      </w:r>
      <w:bookmarkEnd w:id="24"/>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1.评价对象</w:t>
      </w:r>
    </w:p>
    <w:p>
      <w:pPr>
        <w:spacing w:line="360" w:lineRule="auto"/>
        <w:ind w:firstLine="640" w:firstLineChars="200"/>
        <w:rPr>
          <w:rStyle w:val="43"/>
          <w:rFonts w:hint="default" w:hAnsi="Mongolian Baiti" w:cs="Mongolian Baiti"/>
          <w:szCs w:val="32"/>
        </w:rPr>
      </w:pPr>
      <w:r>
        <w:rPr>
          <w:rFonts w:hint="eastAsia" w:ascii="仿宋_GB2312" w:hAnsi="仿宋" w:eastAsia="仿宋_GB2312"/>
          <w:sz w:val="32"/>
          <w:szCs w:val="32"/>
        </w:rPr>
        <w:t>勐海工业园区管理委员会</w:t>
      </w:r>
      <w:r>
        <w:rPr>
          <w:rStyle w:val="43"/>
          <w:rFonts w:hint="default" w:hAnsi="Mongolian Baiti" w:cs="Mongolian Baiti"/>
          <w:szCs w:val="32"/>
        </w:rPr>
        <w:t>。</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2.评价时段</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（1）前期准备阶段:针对本次评价项目。自项目组开展绩效评价工作起。积极与</w:t>
      </w:r>
      <w:r>
        <w:rPr>
          <w:rFonts w:hint="eastAsia" w:ascii="仿宋_GB2312" w:hAnsi="仿宋" w:eastAsia="仿宋_GB2312"/>
          <w:sz w:val="32"/>
          <w:szCs w:val="32"/>
        </w:rPr>
        <w:t>勐海工业园区管理委员会</w:t>
      </w:r>
      <w:r>
        <w:rPr>
          <w:rStyle w:val="43"/>
          <w:rFonts w:hint="default" w:hAnsi="仿宋_GB2312" w:cs="仿宋_GB2312"/>
          <w:szCs w:val="32"/>
        </w:rPr>
        <w:t>相关人员进行沟通，明确绩效评价工作的目的、对象、范围、</w:t>
      </w:r>
      <w:r>
        <w:rPr>
          <w:rStyle w:val="43"/>
          <w:rFonts w:hint="default" w:hAnsi="Mongolian Baiti" w:cs="Mongolian Baiti"/>
          <w:szCs w:val="32"/>
        </w:rPr>
        <w:t>工作步骤和相关要求，编制资料清单，发放调查问卷，在了解单位整体支出及各主要项目支出的基础上，讨论、制定并完善部门整体支出绩效评价工作方案。</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（2）组织实施及分析评价阶段:为使绩效评价工作顺利开展，对2019年部门整体支出的基本资料进行核实、分析。发放绩效调查问卷。利用访谈法、现场查验法、</w:t>
      </w:r>
      <w:r>
        <w:rPr>
          <w:rStyle w:val="43"/>
          <w:rFonts w:hint="default" w:hAnsi="微软雅黑" w:cs="微软雅黑"/>
          <w:szCs w:val="32"/>
        </w:rPr>
        <w:t>数据</w:t>
      </w:r>
      <w:r>
        <w:rPr>
          <w:rStyle w:val="43"/>
          <w:rFonts w:hint="default" w:hAnsi="Mongolian Baiti" w:cs="Mongolian Baiti"/>
          <w:szCs w:val="32"/>
        </w:rPr>
        <w:t>统计法。成本效益分析法开展具体绩效分析工作，运用相关</w:t>
      </w:r>
      <w:r>
        <w:rPr>
          <w:rStyle w:val="43"/>
          <w:rFonts w:hint="default" w:hAnsi="微软雅黑" w:cs="微软雅黑"/>
          <w:szCs w:val="32"/>
        </w:rPr>
        <w:t>绩效</w:t>
      </w:r>
      <w:r>
        <w:rPr>
          <w:rStyle w:val="43"/>
          <w:rFonts w:hint="default" w:hAnsi="仿宋_GB2312" w:cs="仿宋_GB2312"/>
          <w:szCs w:val="32"/>
        </w:rPr>
        <w:t>评价方法对绩效完成情况</w:t>
      </w:r>
      <w:r>
        <w:rPr>
          <w:rStyle w:val="43"/>
          <w:rFonts w:hint="default" w:hAnsi="Mongolian Baiti" w:cs="Mongolian Baiti"/>
          <w:szCs w:val="32"/>
        </w:rPr>
        <w:t>进行综合分析、打分，最后形成评价结论。</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（3）整理底稿。报告报送，对涉及到统计资料、间卷调查表、制度文件以及其他相关的业务、财务资料连同最后的绩效评价报告进行整理,针对考核指标中的投入、过程、产出和效果各项指标逐项考核。井梳理</w:t>
      </w:r>
      <w:r>
        <w:rPr>
          <w:rStyle w:val="43"/>
          <w:rFonts w:hint="default" w:hAnsi="仿宋_GB2312" w:cs="仿宋_GB2312"/>
          <w:szCs w:val="32"/>
        </w:rPr>
        <w:t>总结相关项目单位存</w:t>
      </w:r>
      <w:r>
        <w:rPr>
          <w:rStyle w:val="43"/>
          <w:rFonts w:hint="default" w:hAnsi="Mongolian Baiti" w:cs="Mongolian Baiti"/>
          <w:szCs w:val="32"/>
        </w:rPr>
        <w:t>在问题，给予建议和改进措施，形成最终</w:t>
      </w:r>
      <w:r>
        <w:rPr>
          <w:rStyle w:val="43"/>
          <w:rFonts w:hint="default" w:hAnsi="微软雅黑" w:cs="微软雅黑"/>
          <w:szCs w:val="32"/>
        </w:rPr>
        <w:t>绩效</w:t>
      </w:r>
      <w:r>
        <w:rPr>
          <w:rStyle w:val="43"/>
          <w:rFonts w:hint="default" w:hAnsi="Mongolian Baiti" w:cs="Mongolian Baiti"/>
          <w:szCs w:val="32"/>
        </w:rPr>
        <w:t>评价报告。</w:t>
      </w:r>
    </w:p>
    <w:p>
      <w:pPr>
        <w:pStyle w:val="3"/>
        <w:spacing w:before="0" w:after="0" w:line="600" w:lineRule="exact"/>
        <w:ind w:firstLine="643" w:firstLineChars="200"/>
        <w:rPr>
          <w:rFonts w:ascii="黑体" w:hAnsi="黑体" w:eastAsia="黑体"/>
          <w:color w:val="000000"/>
          <w:sz w:val="32"/>
          <w:szCs w:val="32"/>
        </w:rPr>
      </w:pPr>
      <w:bookmarkStart w:id="25" w:name="_Toc54790340"/>
      <w:r>
        <w:rPr>
          <w:rFonts w:hint="eastAsia" w:ascii="黑体" w:hAnsi="黑体" w:eastAsia="黑体"/>
          <w:color w:val="000000"/>
          <w:sz w:val="32"/>
          <w:szCs w:val="32"/>
        </w:rPr>
        <w:t>四</w:t>
      </w:r>
      <w:r>
        <w:rPr>
          <w:rFonts w:ascii="黑体" w:hAnsi="黑体" w:eastAsia="黑体"/>
          <w:color w:val="000000"/>
          <w:sz w:val="32"/>
          <w:szCs w:val="32"/>
        </w:rPr>
        <w:t>、</w:t>
      </w:r>
      <w:r>
        <w:rPr>
          <w:rFonts w:hint="eastAsia" w:ascii="黑体" w:hAnsi="黑体" w:eastAsia="黑体"/>
          <w:color w:val="000000"/>
          <w:sz w:val="32"/>
          <w:szCs w:val="32"/>
        </w:rPr>
        <w:t>评价结论和</w:t>
      </w:r>
      <w:r>
        <w:rPr>
          <w:rFonts w:ascii="黑体" w:hAnsi="黑体" w:eastAsia="黑体"/>
          <w:color w:val="000000"/>
          <w:sz w:val="32"/>
          <w:szCs w:val="32"/>
        </w:rPr>
        <w:t>绩效分析</w:t>
      </w:r>
      <w:bookmarkEnd w:id="25"/>
    </w:p>
    <w:p>
      <w:pPr>
        <w:pStyle w:val="4"/>
        <w:spacing w:before="0" w:after="0" w:line="360" w:lineRule="auto"/>
        <w:ind w:firstLine="643" w:firstLineChars="200"/>
        <w:rPr>
          <w:rFonts w:ascii="楷体_GB2312" w:eastAsia="楷体_GB2312" w:cs="Times New Roman"/>
          <w:color w:val="000000"/>
        </w:rPr>
      </w:pPr>
      <w:bookmarkStart w:id="26" w:name="_Toc54790341"/>
      <w:r>
        <w:rPr>
          <w:rFonts w:ascii="楷体_GB2312" w:hAnsi="华文楷体" w:eastAsia="楷体_GB2312" w:cs="Times New Roman"/>
          <w:color w:val="000000"/>
        </w:rPr>
        <w:t>（一）</w:t>
      </w:r>
      <w:r>
        <w:rPr>
          <w:rFonts w:ascii="楷体_GB2312" w:eastAsia="楷体_GB2312" w:cs="Times New Roman"/>
          <w:color w:val="000000"/>
        </w:rPr>
        <w:t>评价</w:t>
      </w:r>
      <w:r>
        <w:rPr>
          <w:rFonts w:hint="eastAsia" w:ascii="楷体_GB2312" w:eastAsia="楷体_GB2312" w:cs="Times New Roman"/>
          <w:color w:val="000000"/>
        </w:rPr>
        <w:t>结论</w:t>
      </w:r>
      <w:bookmarkEnd w:id="26"/>
    </w:p>
    <w:p>
      <w:pPr>
        <w:spacing w:line="360" w:lineRule="auto"/>
        <w:ind w:firstLine="640" w:firstLineChars="200"/>
        <w:rPr>
          <w:rStyle w:val="43"/>
          <w:rFonts w:hint="default" w:hAnsi="Mongolian Baiti" w:cs="Mongolian Baiti"/>
          <w:color w:val="000000" w:themeColor="text1"/>
          <w:szCs w:val="32"/>
          <w14:textFill>
            <w14:solidFill>
              <w14:schemeClr w14:val="tx1"/>
            </w14:solidFill>
          </w14:textFill>
        </w:rPr>
      </w:pPr>
      <w:r>
        <w:rPr>
          <w:rStyle w:val="43"/>
          <w:rFonts w:hint="default" w:hAnsi="Mongolian Baiti" w:cs="Mongolian Baiti"/>
          <w:color w:val="000000" w:themeColor="text1"/>
          <w:szCs w:val="32"/>
          <w14:textFill>
            <w14:solidFill>
              <w14:schemeClr w14:val="tx1"/>
            </w14:solidFill>
          </w14:textFill>
        </w:rPr>
        <w:t>1.评价结果</w:t>
      </w:r>
    </w:p>
    <w:p>
      <w:pPr>
        <w:ind w:firstLine="640" w:firstLineChars="200"/>
        <w:rPr>
          <w:rFonts w:ascii="仿宋_GB2312" w:hAnsi="Arial Narrow" w:eastAsia="仿宋_GB2312"/>
          <w:color w:val="000000" w:themeColor="text1"/>
          <w:sz w:val="32"/>
          <w:szCs w:val="32"/>
          <w14:textFill>
            <w14:solidFill>
              <w14:schemeClr w14:val="tx1"/>
            </w14:solidFill>
          </w14:textFill>
        </w:rPr>
      </w:pPr>
      <w:r>
        <w:rPr>
          <w:rFonts w:hint="eastAsia" w:ascii="仿宋_GB2312" w:hAnsi="Arial Narrow" w:eastAsia="仿宋_GB2312"/>
          <w:color w:val="000000" w:themeColor="text1"/>
          <w:sz w:val="32"/>
          <w:szCs w:val="32"/>
          <w14:textFill>
            <w14:solidFill>
              <w14:schemeClr w14:val="tx1"/>
            </w14:solidFill>
          </w14:textFill>
        </w:rPr>
        <w:t>通过对</w:t>
      </w:r>
      <w:r>
        <w:rPr>
          <w:rStyle w:val="43"/>
          <w:rFonts w:hint="default" w:hAnsi="Mongolian Baiti" w:cs="Mongolian Baiti"/>
          <w:color w:val="000000" w:themeColor="text1"/>
          <w:szCs w:val="32"/>
          <w14:textFill>
            <w14:solidFill>
              <w14:schemeClr w14:val="tx1"/>
            </w14:solidFill>
          </w14:textFill>
        </w:rPr>
        <w:t>勐海县自然资源局</w:t>
      </w:r>
      <w:r>
        <w:rPr>
          <w:rFonts w:hint="eastAsia" w:ascii="仿宋_GB2312" w:hAnsi="Arial Narrow" w:eastAsia="仿宋_GB2312"/>
          <w:color w:val="000000" w:themeColor="text1"/>
          <w:sz w:val="32"/>
          <w:szCs w:val="32"/>
          <w14:textFill>
            <w14:solidFill>
              <w14:schemeClr w14:val="tx1"/>
            </w14:solidFill>
          </w14:textFill>
        </w:rPr>
        <w:t>2019年度部门整体支出</w:t>
      </w:r>
      <w:r>
        <w:rPr>
          <w:rStyle w:val="43"/>
          <w:rFonts w:hint="default" w:hAnsi="Mongolian Baiti" w:cs="Mongolian Baiti"/>
          <w:color w:val="000000" w:themeColor="text1"/>
          <w:szCs w:val="32"/>
          <w14:textFill>
            <w14:solidFill>
              <w14:schemeClr w14:val="tx1"/>
            </w14:solidFill>
          </w14:textFill>
        </w:rPr>
        <w:t>投入、过程、产出和效果</w:t>
      </w:r>
      <w:r>
        <w:rPr>
          <w:rFonts w:hint="eastAsia" w:ascii="仿宋_GB2312" w:hAnsi="Arial Narrow" w:eastAsia="仿宋_GB2312"/>
          <w:color w:val="000000" w:themeColor="text1"/>
          <w:sz w:val="32"/>
          <w:szCs w:val="32"/>
          <w14:textFill>
            <w14:solidFill>
              <w14:schemeClr w14:val="tx1"/>
            </w14:solidFill>
          </w14:textFill>
        </w:rPr>
        <w:t>四个方面的</w:t>
      </w:r>
      <w:r>
        <w:rPr>
          <w:rFonts w:ascii="仿宋_GB2312" w:hAnsi="Arial Narrow" w:eastAsia="仿宋_GB2312"/>
          <w:color w:val="000000" w:themeColor="text1"/>
          <w:sz w:val="32"/>
          <w:szCs w:val="32"/>
          <w14:textFill>
            <w14:solidFill>
              <w14:schemeClr w14:val="tx1"/>
            </w14:solidFill>
          </w14:textFill>
        </w:rPr>
        <w:t>32</w:t>
      </w:r>
      <w:r>
        <w:rPr>
          <w:rFonts w:hint="eastAsia" w:ascii="仿宋_GB2312" w:hAnsi="Arial Narrow" w:eastAsia="仿宋_GB2312"/>
          <w:color w:val="000000" w:themeColor="text1"/>
          <w:sz w:val="32"/>
          <w:szCs w:val="32"/>
          <w14:textFill>
            <w14:solidFill>
              <w14:schemeClr w14:val="tx1"/>
            </w14:solidFill>
          </w14:textFill>
        </w:rPr>
        <w:t>个三级指标进行评价、打分，最终评价得分74.45分，评定等级为中。</w:t>
      </w:r>
    </w:p>
    <w:tbl>
      <w:tblPr>
        <w:tblStyle w:val="18"/>
        <w:tblW w:w="7481" w:type="dxa"/>
        <w:jc w:val="center"/>
        <w:tblLayout w:type="fixed"/>
        <w:tblCellMar>
          <w:top w:w="0" w:type="dxa"/>
          <w:left w:w="108" w:type="dxa"/>
          <w:bottom w:w="0" w:type="dxa"/>
          <w:right w:w="108" w:type="dxa"/>
        </w:tblCellMar>
      </w:tblPr>
      <w:tblGrid>
        <w:gridCol w:w="7481"/>
      </w:tblGrid>
      <w:tr>
        <w:tblPrEx>
          <w:tblCellMar>
            <w:top w:w="0" w:type="dxa"/>
            <w:left w:w="108" w:type="dxa"/>
            <w:bottom w:w="0" w:type="dxa"/>
            <w:right w:w="108" w:type="dxa"/>
          </w:tblCellMar>
        </w:tblPrEx>
        <w:trPr>
          <w:trHeight w:val="495" w:hRule="atLeast"/>
          <w:jc w:val="center"/>
        </w:trPr>
        <w:tc>
          <w:tcPr>
            <w:tcW w:w="7481" w:type="dxa"/>
            <w:shd w:val="clear" w:color="auto" w:fill="auto"/>
            <w:vAlign w:val="center"/>
          </w:tcPr>
          <w:p>
            <w:pPr>
              <w:widowControl/>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部门整体支出绩效评价指标体系得分表</w:t>
            </w:r>
          </w:p>
          <w:tbl>
            <w:tblPr>
              <w:tblStyle w:val="18"/>
              <w:tblW w:w="7260" w:type="dxa"/>
              <w:tblInd w:w="0" w:type="dxa"/>
              <w:tblLayout w:type="fixed"/>
              <w:tblCellMar>
                <w:top w:w="0" w:type="dxa"/>
                <w:left w:w="108" w:type="dxa"/>
                <w:bottom w:w="0" w:type="dxa"/>
                <w:right w:w="108" w:type="dxa"/>
              </w:tblCellMar>
            </w:tblPr>
            <w:tblGrid>
              <w:gridCol w:w="1760"/>
              <w:gridCol w:w="1280"/>
              <w:gridCol w:w="1280"/>
              <w:gridCol w:w="1280"/>
              <w:gridCol w:w="1660"/>
            </w:tblGrid>
            <w:tr>
              <w:tblPrEx>
                <w:tblCellMar>
                  <w:top w:w="0" w:type="dxa"/>
                  <w:left w:w="108" w:type="dxa"/>
                  <w:bottom w:w="0" w:type="dxa"/>
                  <w:right w:w="108" w:type="dxa"/>
                </w:tblCellMar>
              </w:tblPrEx>
              <w:trPr>
                <w:trHeight w:val="405" w:hRule="atLeast"/>
              </w:trPr>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权重分</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得分</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扣分</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得分率</w:t>
                  </w:r>
                </w:p>
              </w:tc>
            </w:tr>
            <w:tr>
              <w:tblPrEx>
                <w:tblCellMar>
                  <w:top w:w="0" w:type="dxa"/>
                  <w:left w:w="108" w:type="dxa"/>
                  <w:bottom w:w="0" w:type="dxa"/>
                  <w:right w:w="108" w:type="dxa"/>
                </w:tblCellMar>
              </w:tblPrEx>
              <w:trPr>
                <w:trHeight w:val="405" w:hRule="atLeast"/>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投入</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10.00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1.00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90.91%</w:t>
                  </w:r>
                </w:p>
              </w:tc>
            </w:tr>
            <w:tr>
              <w:tblPrEx>
                <w:tblCellMar>
                  <w:top w:w="0" w:type="dxa"/>
                  <w:left w:w="108" w:type="dxa"/>
                  <w:bottom w:w="0" w:type="dxa"/>
                  <w:right w:w="108" w:type="dxa"/>
                </w:tblCellMar>
              </w:tblPrEx>
              <w:trPr>
                <w:trHeight w:val="405" w:hRule="atLeast"/>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过程</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24.95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11.05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69.29%</w:t>
                  </w:r>
                </w:p>
              </w:tc>
            </w:tr>
            <w:tr>
              <w:tblPrEx>
                <w:tblCellMar>
                  <w:top w:w="0" w:type="dxa"/>
                  <w:left w:w="108" w:type="dxa"/>
                  <w:bottom w:w="0" w:type="dxa"/>
                  <w:right w:w="108" w:type="dxa"/>
                </w:tblCellMar>
              </w:tblPrEx>
              <w:trPr>
                <w:trHeight w:val="405" w:hRule="atLeast"/>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产出</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22.00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13.00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62.86%</w:t>
                  </w:r>
                </w:p>
              </w:tc>
            </w:tr>
            <w:tr>
              <w:tblPrEx>
                <w:tblCellMar>
                  <w:top w:w="0" w:type="dxa"/>
                  <w:left w:w="108" w:type="dxa"/>
                  <w:bottom w:w="0" w:type="dxa"/>
                  <w:right w:w="108" w:type="dxa"/>
                </w:tblCellMar>
              </w:tblPrEx>
              <w:trPr>
                <w:trHeight w:val="405" w:hRule="atLeast"/>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效果</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17.50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0.50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97.22%</w:t>
                  </w:r>
                </w:p>
              </w:tc>
            </w:tr>
            <w:tr>
              <w:tblPrEx>
                <w:tblCellMar>
                  <w:top w:w="0" w:type="dxa"/>
                  <w:left w:w="108" w:type="dxa"/>
                  <w:bottom w:w="0" w:type="dxa"/>
                  <w:right w:w="108" w:type="dxa"/>
                </w:tblCellMar>
              </w:tblPrEx>
              <w:trPr>
                <w:trHeight w:val="405" w:hRule="atLeast"/>
              </w:trPr>
              <w:tc>
                <w:tcPr>
                  <w:tcW w:w="1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   计</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100</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74.45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25.55 </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74.45%</w:t>
                  </w:r>
                </w:p>
              </w:tc>
            </w:tr>
          </w:tbl>
          <w:p>
            <w:pPr>
              <w:widowControl/>
              <w:rPr>
                <w:rFonts w:ascii="宋体" w:hAnsi="宋体" w:cs="宋体"/>
                <w:b/>
                <w:bCs/>
                <w:color w:val="000000" w:themeColor="text1"/>
                <w:kern w:val="0"/>
                <w:sz w:val="28"/>
                <w:szCs w:val="28"/>
                <w14:textFill>
                  <w14:solidFill>
                    <w14:schemeClr w14:val="tx1"/>
                  </w14:solidFill>
                </w14:textFill>
              </w:rPr>
            </w:pPr>
          </w:p>
        </w:tc>
      </w:tr>
    </w:tbl>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2.主要绩效</w:t>
      </w:r>
    </w:p>
    <w:p>
      <w:pPr>
        <w:spacing w:line="360" w:lineRule="auto"/>
        <w:ind w:firstLine="640" w:firstLineChars="200"/>
        <w:rPr>
          <w:rStyle w:val="43"/>
          <w:rFonts w:hint="default" w:hAnsi="Mongolian Baiti" w:cs="Mongolian Baiti"/>
          <w:szCs w:val="32"/>
        </w:rPr>
      </w:pPr>
      <w:r>
        <w:rPr>
          <w:rFonts w:hint="eastAsia" w:ascii="仿宋_GB2312" w:hAnsi="仿宋" w:eastAsia="仿宋_GB2312"/>
          <w:sz w:val="32"/>
          <w:szCs w:val="32"/>
        </w:rPr>
        <w:t>勐海工业园区管理委员会</w:t>
      </w:r>
      <w:r>
        <w:rPr>
          <w:rStyle w:val="43"/>
          <w:rFonts w:hint="default" w:hAnsi="Mongolian Baiti" w:cs="Mongolian Baiti"/>
          <w:szCs w:val="32"/>
        </w:rPr>
        <w:t>在2019年的工作中履行了工作目标设定、预算管理、制度建设、资源配置、资产管理等方面的工作，较好的完成了预定的工作任务目标，实现了经济、社会、环境等履职效益。同时也存在结转（结余）资金较大、预算执行工作有待加强，政府采购预算及执行工作不到位，固定资产管理工作不细化，绩效跟踪机制不健全等方面的工作需改进实施。</w:t>
      </w:r>
    </w:p>
    <w:p>
      <w:pPr>
        <w:pStyle w:val="4"/>
        <w:spacing w:before="0" w:after="0" w:line="360" w:lineRule="auto"/>
        <w:ind w:firstLine="643" w:firstLineChars="200"/>
        <w:rPr>
          <w:rFonts w:ascii="楷体_GB2312" w:eastAsia="楷体_GB2312" w:cs="Times New Roman"/>
          <w:color w:val="000000"/>
        </w:rPr>
      </w:pPr>
      <w:bookmarkStart w:id="27" w:name="_Toc54790342"/>
      <w:r>
        <w:rPr>
          <w:rFonts w:ascii="楷体_GB2312" w:hAnsi="华文楷体" w:eastAsia="楷体_GB2312" w:cs="Times New Roman"/>
          <w:color w:val="000000"/>
        </w:rPr>
        <w:t>（</w:t>
      </w:r>
      <w:r>
        <w:rPr>
          <w:rFonts w:hint="eastAsia" w:ascii="楷体_GB2312" w:hAnsi="华文楷体" w:eastAsia="楷体_GB2312" w:cs="Times New Roman"/>
          <w:color w:val="000000"/>
        </w:rPr>
        <w:t>二</w:t>
      </w:r>
      <w:r>
        <w:rPr>
          <w:rFonts w:ascii="楷体_GB2312" w:hAnsi="华文楷体" w:eastAsia="楷体_GB2312" w:cs="Times New Roman"/>
          <w:color w:val="000000"/>
        </w:rPr>
        <w:t>）</w:t>
      </w:r>
      <w:r>
        <w:rPr>
          <w:rFonts w:hint="eastAsia" w:ascii="楷体_GB2312" w:eastAsia="楷体_GB2312" w:cs="Times New Roman"/>
          <w:color w:val="000000"/>
        </w:rPr>
        <w:t>具体绩效</w:t>
      </w:r>
      <w:r>
        <w:rPr>
          <w:rFonts w:ascii="楷体_GB2312" w:eastAsia="楷体_GB2312" w:cs="Times New Roman"/>
          <w:color w:val="000000"/>
        </w:rPr>
        <w:t>分析</w:t>
      </w:r>
      <w:bookmarkEnd w:id="27"/>
    </w:p>
    <w:p>
      <w:pPr>
        <w:ind w:firstLine="640" w:firstLineChars="200"/>
        <w:rPr>
          <w:rStyle w:val="43"/>
          <w:rFonts w:hint="default" w:hAnsi="Arial Narrow"/>
          <w:color w:val="000000" w:themeColor="text1"/>
          <w:szCs w:val="32"/>
          <w14:textFill>
            <w14:solidFill>
              <w14:schemeClr w14:val="tx1"/>
            </w14:solidFill>
          </w14:textFill>
        </w:rPr>
      </w:pPr>
      <w:r>
        <w:rPr>
          <w:rFonts w:hint="eastAsia" w:ascii="仿宋_GB2312" w:hAnsi="Arial Narrow" w:eastAsia="仿宋_GB2312"/>
          <w:color w:val="000000" w:themeColor="text1"/>
          <w:sz w:val="32"/>
          <w:szCs w:val="32"/>
          <w14:textFill>
            <w14:solidFill>
              <w14:schemeClr w14:val="tx1"/>
            </w14:solidFill>
          </w14:textFill>
        </w:rPr>
        <w:t>对照绩效评价指标体系逐项进行分析、评价并打分，各绩效指标评价情况如下：</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1.投入指标评价</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投入指标</w:t>
      </w:r>
      <w:r>
        <w:rPr>
          <w:rFonts w:ascii="仿宋_GB2312" w:hAnsi="Arial Narrow" w:eastAsia="仿宋_GB2312"/>
          <w:sz w:val="32"/>
          <w:szCs w:val="32"/>
        </w:rPr>
        <w:t>包括目标设定和</w:t>
      </w:r>
      <w:r>
        <w:rPr>
          <w:rFonts w:hint="eastAsia" w:ascii="仿宋_GB2312" w:hAnsi="Arial Narrow" w:eastAsia="仿宋_GB2312"/>
          <w:sz w:val="32"/>
          <w:szCs w:val="32"/>
        </w:rPr>
        <w:t>预算</w:t>
      </w:r>
      <w:r>
        <w:rPr>
          <w:rFonts w:ascii="仿宋_GB2312" w:hAnsi="Arial Narrow" w:eastAsia="仿宋_GB2312"/>
          <w:sz w:val="32"/>
          <w:szCs w:val="32"/>
        </w:rPr>
        <w:t>配置</w:t>
      </w:r>
      <w:r>
        <w:rPr>
          <w:rFonts w:hint="eastAsia" w:ascii="仿宋_GB2312" w:hAnsi="Arial Narrow" w:eastAsia="仿宋_GB2312"/>
          <w:sz w:val="32"/>
          <w:szCs w:val="32"/>
        </w:rPr>
        <w:t>两</w:t>
      </w:r>
      <w:r>
        <w:rPr>
          <w:rFonts w:ascii="仿宋_GB2312" w:hAnsi="Arial Narrow" w:eastAsia="仿宋_GB2312"/>
          <w:sz w:val="32"/>
          <w:szCs w:val="32"/>
        </w:rPr>
        <w:t>方面内容</w:t>
      </w:r>
      <w:r>
        <w:rPr>
          <w:rFonts w:hint="eastAsia" w:ascii="仿宋_GB2312" w:hAnsi="Arial Narrow" w:eastAsia="仿宋_GB2312"/>
          <w:sz w:val="32"/>
          <w:szCs w:val="32"/>
        </w:rPr>
        <w:t>。</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（1）目标</w:t>
      </w:r>
      <w:r>
        <w:rPr>
          <w:rFonts w:ascii="仿宋_GB2312" w:hAnsi="Arial Narrow" w:eastAsia="仿宋_GB2312"/>
          <w:sz w:val="32"/>
          <w:szCs w:val="32"/>
        </w:rPr>
        <w:t>设定</w:t>
      </w:r>
    </w:p>
    <w:p>
      <w:pPr>
        <w:spacing w:line="360" w:lineRule="auto"/>
        <w:ind w:firstLine="640" w:firstLineChars="200"/>
        <w:rPr>
          <w:rFonts w:ascii="仿宋_GB2312" w:hAnsi="Arial Narrow" w:eastAsia="仿宋_GB2312"/>
          <w:sz w:val="32"/>
          <w:szCs w:val="32"/>
        </w:rPr>
      </w:pPr>
      <w:r>
        <w:rPr>
          <w:rFonts w:hint="eastAsia" w:ascii="仿宋_GB2312" w:hAnsi="仿宋" w:eastAsia="仿宋_GB2312"/>
          <w:sz w:val="32"/>
          <w:szCs w:val="32"/>
        </w:rPr>
        <w:t>勐海工业园区管理委员会</w:t>
      </w:r>
      <w:r>
        <w:rPr>
          <w:rFonts w:hint="eastAsia" w:ascii="仿宋_GB2312" w:hAnsi="Arial Narrow" w:eastAsia="仿宋_GB2312"/>
          <w:sz w:val="32"/>
          <w:szCs w:val="32"/>
        </w:rPr>
        <w:t>设定的整体绩效目标符合国家相关法律法规及社会发展总体规划、符合部门“三定”方案确定的职责及部门中长期实施规划。制定的</w:t>
      </w:r>
      <w:r>
        <w:rPr>
          <w:rFonts w:ascii="仿宋_GB2312" w:hAnsi="Arial Narrow" w:eastAsia="仿宋_GB2312"/>
          <w:sz w:val="32"/>
          <w:szCs w:val="32"/>
        </w:rPr>
        <w:t>年度工作计划与绩效目标基本匹配。</w:t>
      </w:r>
      <w:r>
        <w:rPr>
          <w:rFonts w:hint="eastAsia" w:ascii="仿宋_GB2312" w:hAnsi="Arial Narrow" w:eastAsia="仿宋_GB2312"/>
          <w:sz w:val="32"/>
          <w:szCs w:val="32"/>
        </w:rPr>
        <w:t>部门整体绩效目标细化分解程度</w:t>
      </w:r>
      <w:r>
        <w:rPr>
          <w:rFonts w:ascii="仿宋_GB2312" w:hAnsi="Arial Narrow" w:eastAsia="仿宋_GB2312"/>
          <w:sz w:val="32"/>
          <w:szCs w:val="32"/>
        </w:rPr>
        <w:t>不够，</w:t>
      </w:r>
      <w:r>
        <w:rPr>
          <w:rFonts w:hint="eastAsia" w:ascii="仿宋_GB2312" w:hAnsi="Arial Narrow" w:eastAsia="仿宋_GB2312"/>
          <w:sz w:val="32"/>
          <w:szCs w:val="32"/>
        </w:rPr>
        <w:t>产出指标不够量化、细化。项目年度任务计划与资金预算匹配度不够，造成资金结转（结余）金额较大。</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（2）预算</w:t>
      </w:r>
      <w:r>
        <w:rPr>
          <w:rFonts w:ascii="仿宋_GB2312" w:hAnsi="Arial Narrow" w:eastAsia="仿宋_GB2312"/>
          <w:sz w:val="32"/>
          <w:szCs w:val="32"/>
        </w:rPr>
        <w:t>配置</w:t>
      </w:r>
    </w:p>
    <w:p>
      <w:pPr>
        <w:spacing w:line="560" w:lineRule="exact"/>
        <w:ind w:firstLine="640" w:firstLineChars="200"/>
        <w:rPr>
          <w:rStyle w:val="43"/>
          <w:rFonts w:hint="default" w:hAnsi="Mongolian Baiti" w:cs="Mongolian Baiti"/>
          <w:szCs w:val="32"/>
        </w:rPr>
      </w:pPr>
      <w:r>
        <w:rPr>
          <w:rStyle w:val="43"/>
          <w:rFonts w:hint="default" w:hAnsi="Mongolian Baiti" w:cs="Mongolian Baiti"/>
          <w:szCs w:val="32"/>
        </w:rPr>
        <w:t>在职人员控制率：根据《勐海县人民政府办公室 关于印发勐海工业园区管理委员会主要职责内设机构和人员编制的通知》（海政办发〔2011〕248号）文件，</w:t>
      </w:r>
      <w:r>
        <w:rPr>
          <w:rFonts w:hint="eastAsia" w:ascii="仿宋_GB2312" w:hAnsi="仿宋" w:eastAsia="仿宋_GB2312"/>
          <w:sz w:val="32"/>
          <w:szCs w:val="32"/>
        </w:rPr>
        <w:t>勐海工业园区管理委员会</w:t>
      </w:r>
      <w:r>
        <w:rPr>
          <w:rStyle w:val="43"/>
          <w:rFonts w:hint="default" w:hAnsi="Mongolian Baiti" w:cs="Mongolian Baiti"/>
          <w:szCs w:val="32"/>
        </w:rPr>
        <w:t>2019年人员编制9名，为事业编制；2019年末实有在编人数5名。在职人员控制率55.56%。</w:t>
      </w:r>
    </w:p>
    <w:p>
      <w:pPr>
        <w:spacing w:line="360" w:lineRule="auto"/>
        <w:ind w:firstLine="640" w:firstLineChars="200"/>
        <w:rPr>
          <w:rStyle w:val="43"/>
          <w:rFonts w:hint="default" w:hAnsi="Mongolian Baiti" w:cs="Mongolian Baiti"/>
          <w:szCs w:val="32"/>
        </w:rPr>
      </w:pPr>
      <w:r>
        <w:rPr>
          <w:rStyle w:val="43"/>
          <w:rFonts w:hAnsi="Mongolian Baiti" w:cs="Mongolian Baiti"/>
        </w:rPr>
        <w:t>“三公</w:t>
      </w:r>
      <w:r>
        <w:rPr>
          <w:rStyle w:val="43"/>
          <w:rFonts w:hint="default" w:hAnsi="Mongolian Baiti" w:cs="Mongolian Baiti"/>
        </w:rPr>
        <w:t>经费</w:t>
      </w:r>
      <w:r>
        <w:rPr>
          <w:rStyle w:val="43"/>
          <w:rFonts w:hAnsi="Mongolian Baiti" w:cs="Mongolian Baiti"/>
        </w:rPr>
        <w:t>”</w:t>
      </w:r>
      <w:r>
        <w:rPr>
          <w:rStyle w:val="43"/>
          <w:rFonts w:hint="default" w:hAnsi="Mongolian Baiti" w:cs="Mongolian Baiti"/>
        </w:rPr>
        <w:t>变动率：</w:t>
      </w:r>
      <w:r>
        <w:rPr>
          <w:rStyle w:val="43"/>
          <w:rFonts w:hAnsi="Mongolian Baiti" w:cs="Mongolian Baiti"/>
        </w:rPr>
        <w:t>根据勐海工业园区管理委员会</w:t>
      </w:r>
      <w:r>
        <w:rPr>
          <w:rStyle w:val="43"/>
          <w:rFonts w:hint="default" w:hAnsi="Mongolian Baiti" w:cs="Mongolian Baiti"/>
          <w:szCs w:val="32"/>
        </w:rPr>
        <w:t>2019年</w:t>
      </w:r>
      <w:r>
        <w:rPr>
          <w:rStyle w:val="43"/>
          <w:rFonts w:hAnsi="Mongolian Baiti" w:cs="Mongolian Baiti"/>
        </w:rPr>
        <w:t>“三公</w:t>
      </w:r>
      <w:r>
        <w:rPr>
          <w:rStyle w:val="43"/>
          <w:rFonts w:hint="default" w:hAnsi="Mongolian Baiti" w:cs="Mongolian Baiti"/>
        </w:rPr>
        <w:t>经费</w:t>
      </w:r>
      <w:r>
        <w:rPr>
          <w:rStyle w:val="43"/>
          <w:rFonts w:hAnsi="Mongolian Baiti" w:cs="Mongolian Baiti"/>
        </w:rPr>
        <w:t>”预算</w:t>
      </w:r>
      <w:r>
        <w:rPr>
          <w:rStyle w:val="43"/>
          <w:rFonts w:hint="default" w:hAnsi="Mongolian Baiti" w:cs="Mongolian Baiti"/>
          <w:szCs w:val="32"/>
        </w:rPr>
        <w:t>40,000.00元（其中：公务用车运行维护20,000.00元、公务接待20,000.00元），2018年</w:t>
      </w:r>
      <w:r>
        <w:rPr>
          <w:rStyle w:val="43"/>
          <w:rFonts w:hAnsi="Mongolian Baiti" w:cs="Mongolian Baiti"/>
        </w:rPr>
        <w:t>“三公</w:t>
      </w:r>
      <w:r>
        <w:rPr>
          <w:rStyle w:val="43"/>
          <w:rFonts w:hint="default" w:hAnsi="Mongolian Baiti" w:cs="Mongolian Baiti"/>
        </w:rPr>
        <w:t>经费</w:t>
      </w:r>
      <w:r>
        <w:rPr>
          <w:rStyle w:val="43"/>
          <w:rFonts w:hAnsi="Mongolian Baiti" w:cs="Mongolian Baiti"/>
        </w:rPr>
        <w:t>”预算</w:t>
      </w:r>
      <w:r>
        <w:rPr>
          <w:rStyle w:val="43"/>
          <w:rFonts w:hint="default" w:hAnsi="Mongolian Baiti" w:cs="Mongolian Baiti"/>
          <w:szCs w:val="32"/>
        </w:rPr>
        <w:t>60,000.00元（其中：公务用车运行维护40,000.00元、公务接待20,000.00元），</w:t>
      </w:r>
      <w:r>
        <w:rPr>
          <w:rStyle w:val="43"/>
          <w:rFonts w:hAnsi="Mongolian Baiti" w:cs="Mongolian Baiti"/>
        </w:rPr>
        <w:t>“三公</w:t>
      </w:r>
      <w:r>
        <w:rPr>
          <w:rStyle w:val="43"/>
          <w:rFonts w:hint="default" w:hAnsi="Mongolian Baiti" w:cs="Mongolian Baiti"/>
        </w:rPr>
        <w:t>经费</w:t>
      </w:r>
      <w:r>
        <w:rPr>
          <w:rStyle w:val="43"/>
          <w:rFonts w:hAnsi="Mongolian Baiti" w:cs="Mongolian Baiti"/>
        </w:rPr>
        <w:t>”</w:t>
      </w:r>
      <w:r>
        <w:rPr>
          <w:rStyle w:val="43"/>
          <w:rFonts w:hint="default" w:hAnsi="Mongolian Baiti" w:cs="Mongolian Baiti"/>
          <w:szCs w:val="32"/>
        </w:rPr>
        <w:t>变动率-33.33%。</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重点支出安排率：2019年度</w:t>
      </w:r>
      <w:r>
        <w:rPr>
          <w:rFonts w:ascii="仿宋_GB2312" w:hAnsi="Arial Narrow" w:eastAsia="仿宋_GB2312"/>
          <w:sz w:val="32"/>
          <w:szCs w:val="32"/>
        </w:rPr>
        <w:t>重点项目支出</w:t>
      </w:r>
      <w:r>
        <w:rPr>
          <w:rFonts w:hint="eastAsia" w:ascii="仿宋_GB2312" w:hAnsi="Arial Narrow" w:eastAsia="仿宋_GB2312"/>
          <w:sz w:val="32"/>
          <w:szCs w:val="32"/>
        </w:rPr>
        <w:t>均按计划</w:t>
      </w:r>
      <w:r>
        <w:rPr>
          <w:rFonts w:ascii="仿宋_GB2312" w:hAnsi="Arial Narrow" w:eastAsia="仿宋_GB2312"/>
          <w:sz w:val="32"/>
          <w:szCs w:val="32"/>
        </w:rPr>
        <w:t>安排。</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2.过程指标评价</w:t>
      </w:r>
    </w:p>
    <w:p>
      <w:pPr>
        <w:spacing w:line="360" w:lineRule="auto"/>
        <w:ind w:firstLine="640" w:firstLineChars="200"/>
        <w:rPr>
          <w:rFonts w:ascii="仿宋_GB2312" w:hAnsi="Arial Narrow" w:eastAsia="仿宋_GB2312"/>
          <w:sz w:val="32"/>
          <w:szCs w:val="32"/>
        </w:rPr>
      </w:pPr>
      <w:r>
        <w:rPr>
          <w:rFonts w:hint="eastAsia" w:ascii="仿宋_GB2312" w:hAnsi="Arial Narrow" w:eastAsia="仿宋_GB2312"/>
          <w:sz w:val="32"/>
          <w:szCs w:val="32"/>
        </w:rPr>
        <w:t>（1）预算</w:t>
      </w:r>
      <w:r>
        <w:rPr>
          <w:rFonts w:ascii="仿宋_GB2312" w:hAnsi="Arial Narrow" w:eastAsia="仿宋_GB2312"/>
          <w:sz w:val="32"/>
          <w:szCs w:val="32"/>
        </w:rPr>
        <w:t>执行</w:t>
      </w:r>
    </w:p>
    <w:p>
      <w:pPr>
        <w:spacing w:line="360" w:lineRule="auto"/>
        <w:ind w:firstLine="640" w:firstLineChars="200"/>
        <w:rPr>
          <w:rStyle w:val="43"/>
          <w:rFonts w:hint="default" w:hAnsi="Mongolian Baiti" w:cs="Mongolian Baiti"/>
        </w:rPr>
      </w:pPr>
      <w:r>
        <w:rPr>
          <w:rStyle w:val="43"/>
          <w:rFonts w:hint="default" w:hAnsi="Mongolian Baiti" w:cs="Mongolian Baiti"/>
          <w:szCs w:val="32"/>
        </w:rPr>
        <w:t>经计算，</w:t>
      </w:r>
      <w:r>
        <w:rPr>
          <w:rStyle w:val="43"/>
          <w:rFonts w:hint="default" w:hAnsi="Mongolian Baiti" w:cs="Mongolian Baiti"/>
        </w:rPr>
        <w:t>勐海工业园区管理委员会</w:t>
      </w:r>
      <w:r>
        <w:rPr>
          <w:rStyle w:val="43"/>
          <w:rFonts w:hint="default" w:hAnsi="Mongolian Baiti" w:cs="Mongolian Baiti"/>
          <w:szCs w:val="32"/>
        </w:rPr>
        <w:t>2019年度预算完成率131.52%；</w:t>
      </w:r>
      <w:r>
        <w:rPr>
          <w:rStyle w:val="43"/>
          <w:rFonts w:hint="default" w:hAnsi="Mongolian Baiti" w:cs="Mongolian Baiti"/>
        </w:rPr>
        <w:t>预算调整率131.54%</w:t>
      </w:r>
      <w:r>
        <w:rPr>
          <w:rStyle w:val="43"/>
          <w:rFonts w:hint="default" w:hAnsi="Mongolian Baiti" w:cs="Mongolian Baiti"/>
          <w:szCs w:val="32"/>
        </w:rPr>
        <w:t>;支付进度率43.23%；</w:t>
      </w:r>
      <w:r>
        <w:rPr>
          <w:rStyle w:val="43"/>
          <w:rFonts w:hint="default" w:hAnsi="Mongolian Baiti" w:cs="Mongolian Baiti"/>
        </w:rPr>
        <w:t>结转（结余）率-31.52%；结转（结余）变动率-15.43%；公用经费控制率109.12%；“三公经费”控制率186.18%,2019</w:t>
      </w:r>
      <w:r>
        <w:rPr>
          <w:rStyle w:val="43"/>
          <w:rFonts w:hint="default" w:hAnsi="Mongolian Baiti" w:cs="Mongolian Baiti"/>
          <w:szCs w:val="32"/>
        </w:rPr>
        <w:t>年度单位预算准确性和均衡性程度较差，同时未进行政府采购预算的申报及执行。</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（2）预算</w:t>
      </w:r>
      <w:r>
        <w:rPr>
          <w:rFonts w:ascii="仿宋_GB2312" w:hAnsi="仿宋" w:eastAsia="仿宋_GB2312"/>
          <w:sz w:val="32"/>
          <w:szCs w:val="32"/>
        </w:rPr>
        <w:t>管理</w:t>
      </w:r>
    </w:p>
    <w:p>
      <w:pPr>
        <w:spacing w:line="360" w:lineRule="auto"/>
        <w:ind w:firstLine="640" w:firstLineChars="200"/>
        <w:rPr>
          <w:rFonts w:ascii="仿宋_GB2312" w:hAnsi="Arial Narrow" w:eastAsia="仿宋_GB2312"/>
          <w:sz w:val="32"/>
          <w:szCs w:val="32"/>
        </w:rPr>
      </w:pPr>
      <w:r>
        <w:rPr>
          <w:rFonts w:hint="eastAsia" w:ascii="仿宋_GB2312" w:hAnsi="仿宋" w:eastAsia="仿宋_GB2312"/>
          <w:sz w:val="32"/>
          <w:szCs w:val="32"/>
        </w:rPr>
        <w:t>勐海工业园区管理委员会</w:t>
      </w:r>
      <w:r>
        <w:rPr>
          <w:rStyle w:val="43"/>
          <w:rFonts w:hint="default" w:hAnsi="Mongolian Baiti" w:cs="Mongolian Baiti"/>
          <w:szCs w:val="32"/>
        </w:rPr>
        <w:t>制定了单位内部财务管理制度</w:t>
      </w:r>
      <w:r>
        <w:rPr>
          <w:rFonts w:hint="eastAsia" w:ascii="仿宋_GB2312" w:hAnsi="Arial Narrow" w:eastAsia="仿宋_GB2312"/>
          <w:sz w:val="32"/>
          <w:szCs w:val="32"/>
        </w:rPr>
        <w:t>，但</w:t>
      </w:r>
      <w:r>
        <w:rPr>
          <w:rFonts w:ascii="仿宋_GB2312" w:hAnsi="Arial Narrow" w:eastAsia="仿宋_GB2312"/>
          <w:sz w:val="32"/>
          <w:szCs w:val="32"/>
        </w:rPr>
        <w:t>制度</w:t>
      </w:r>
      <w:r>
        <w:rPr>
          <w:rFonts w:hint="eastAsia" w:ascii="仿宋_GB2312" w:hAnsi="Arial Narrow" w:eastAsia="仿宋_GB2312"/>
          <w:sz w:val="32"/>
          <w:szCs w:val="32"/>
        </w:rPr>
        <w:t>不够健全，未制定预算资金管理办法、专项资金管理办法及预算绩效（跟踪）管理办法等制度。资金支出有完整的审批程序和手续，</w:t>
      </w:r>
      <w:r>
        <w:rPr>
          <w:rFonts w:ascii="仿宋_GB2312" w:hAnsi="Arial Narrow" w:eastAsia="仿宋_GB2312"/>
          <w:sz w:val="32"/>
          <w:szCs w:val="32"/>
        </w:rPr>
        <w:t>用途符合规定，</w:t>
      </w:r>
      <w:r>
        <w:rPr>
          <w:rFonts w:hint="eastAsia" w:ascii="仿宋_GB2312" w:hAnsi="Arial Narrow" w:eastAsia="仿宋_GB2312"/>
          <w:sz w:val="32"/>
          <w:szCs w:val="32"/>
        </w:rPr>
        <w:t>重大项目支出按规定履行了</w:t>
      </w:r>
      <w:r>
        <w:rPr>
          <w:rFonts w:ascii="仿宋_GB2312" w:hAnsi="Arial Narrow" w:eastAsia="仿宋_GB2312"/>
          <w:sz w:val="32"/>
          <w:szCs w:val="32"/>
        </w:rPr>
        <w:t>可行性</w:t>
      </w:r>
      <w:r>
        <w:rPr>
          <w:rFonts w:hint="eastAsia" w:ascii="仿宋_GB2312" w:hAnsi="Arial Narrow" w:eastAsia="仿宋_GB2312"/>
          <w:sz w:val="32"/>
          <w:szCs w:val="32"/>
        </w:rPr>
        <w:t>论证、</w:t>
      </w:r>
      <w:r>
        <w:rPr>
          <w:rFonts w:ascii="仿宋_GB2312" w:hAnsi="Arial Narrow" w:eastAsia="仿宋_GB2312"/>
          <w:sz w:val="32"/>
          <w:szCs w:val="32"/>
        </w:rPr>
        <w:t>批复程序</w:t>
      </w:r>
      <w:r>
        <w:rPr>
          <w:rFonts w:hint="eastAsia" w:ascii="仿宋_GB2312" w:hAnsi="Arial Narrow" w:eastAsia="仿宋_GB2312"/>
          <w:sz w:val="32"/>
          <w:szCs w:val="32"/>
        </w:rPr>
        <w:t>，未</w:t>
      </w:r>
      <w:r>
        <w:rPr>
          <w:rFonts w:ascii="仿宋_GB2312" w:hAnsi="Arial Narrow" w:eastAsia="仿宋_GB2312"/>
          <w:sz w:val="32"/>
          <w:szCs w:val="32"/>
        </w:rPr>
        <w:t>发现</w:t>
      </w:r>
      <w:r>
        <w:rPr>
          <w:rFonts w:hint="eastAsia" w:ascii="仿宋_GB2312" w:hAnsi="Arial Narrow" w:eastAsia="仿宋_GB2312"/>
          <w:sz w:val="32"/>
          <w:szCs w:val="32"/>
        </w:rPr>
        <w:t>截留、挤占、挪用、虚列支出等情况。</w:t>
      </w:r>
    </w:p>
    <w:p>
      <w:pPr>
        <w:spacing w:line="360" w:lineRule="auto"/>
        <w:ind w:firstLine="640" w:firstLineChars="200"/>
        <w:rPr>
          <w:rStyle w:val="43"/>
          <w:rFonts w:hint="default" w:hAnsi="Arial Narrow"/>
          <w:szCs w:val="32"/>
        </w:rPr>
      </w:pPr>
      <w:r>
        <w:rPr>
          <w:rFonts w:ascii="仿宋_GB2312" w:hAnsi="Arial Narrow" w:eastAsia="仿宋_GB2312"/>
          <w:sz w:val="32"/>
          <w:szCs w:val="32"/>
        </w:rPr>
        <w:t>单位能够按规定内容、时限公开预决算信息，信息内容真实、准确，但资料归集的完整性不足，项目财政预算资金执行情况自评信息不完整。未建立绩效跟踪及考核制度，重点项目基本完成自评报告，内容真实，基本完整。</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（3）资产</w:t>
      </w:r>
      <w:r>
        <w:rPr>
          <w:rFonts w:ascii="仿宋_GB2312" w:hAnsi="仿宋" w:eastAsia="仿宋_GB2312"/>
          <w:sz w:val="32"/>
          <w:szCs w:val="32"/>
        </w:rPr>
        <w:t>管理</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单位制定了《勐海工业园区管理委员会工作制度》，对固定资产的管理、使用等程序进行了规定，但制度内容较简约、不全面；固定资产管理过程中存在损毁、盘亏未及时申报核销的固定资产，造成固定资产账实不符。</w:t>
      </w:r>
    </w:p>
    <w:p>
      <w:pPr>
        <w:spacing w:line="360" w:lineRule="auto"/>
        <w:ind w:firstLine="640" w:firstLineChars="200"/>
        <w:rPr>
          <w:rStyle w:val="43"/>
          <w:rFonts w:hint="default" w:hAnsi="Arial Narrow"/>
          <w:color w:val="FF0000"/>
          <w:szCs w:val="32"/>
        </w:rPr>
      </w:pPr>
      <w:r>
        <w:rPr>
          <w:rFonts w:ascii="仿宋_GB2312" w:hAnsi="仿宋" w:eastAsia="仿宋_GB2312"/>
          <w:sz w:val="32"/>
          <w:szCs w:val="32"/>
        </w:rPr>
        <w:t>单位存在3年以上长期挂账资金，未定期与往来单位对账，往来资金管理有待加强。</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3.产出指标评价</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（1）实际完成率</w:t>
      </w:r>
    </w:p>
    <w:p>
      <w:pPr>
        <w:spacing w:line="360" w:lineRule="auto"/>
        <w:ind w:firstLine="640" w:firstLineChars="200"/>
        <w:rPr>
          <w:rStyle w:val="43"/>
          <w:rFonts w:hint="default" w:hAnsi="Mongolian Baiti" w:cs="Mongolian Baiti"/>
          <w:szCs w:val="32"/>
        </w:rPr>
      </w:pPr>
      <w:r>
        <w:rPr>
          <w:rFonts w:hint="eastAsia" w:ascii="仿宋_GB2312" w:hAnsi="Arial Narrow" w:eastAsia="仿宋_GB2312"/>
          <w:sz w:val="32"/>
          <w:szCs w:val="32"/>
        </w:rPr>
        <w:t>根据</w:t>
      </w:r>
      <w:r>
        <w:rPr>
          <w:rFonts w:hint="eastAsia" w:ascii="仿宋_GB2312" w:hAnsi="仿宋" w:eastAsia="仿宋_GB2312"/>
          <w:sz w:val="32"/>
          <w:szCs w:val="32"/>
        </w:rPr>
        <w:t>勐海工业园区管理委员会提供的《勐海工业园区管理委员会2018年工作总结及2019年工作计划》、《勐海工业园区管理委员会2019年工作总结及2020年工作计划》</w:t>
      </w:r>
      <w:r>
        <w:rPr>
          <w:rStyle w:val="43"/>
          <w:rFonts w:hint="default" w:hAnsi="Mongolian Baiti" w:cs="Mongolian Baiti"/>
          <w:szCs w:val="32"/>
        </w:rPr>
        <w:t>及实际部门预算安排及执行情况，</w:t>
      </w:r>
      <w:r>
        <w:rPr>
          <w:rFonts w:hint="eastAsia" w:ascii="仿宋_GB2312" w:hAnsi="仿宋" w:eastAsia="仿宋_GB2312"/>
          <w:sz w:val="32"/>
          <w:szCs w:val="32"/>
        </w:rPr>
        <w:t>勐海工业园区管理委员会</w:t>
      </w:r>
      <w:r>
        <w:rPr>
          <w:rStyle w:val="43"/>
          <w:rFonts w:hint="default" w:hAnsi="Mongolian Baiti" w:cs="Mongolian Baiti"/>
          <w:szCs w:val="32"/>
        </w:rPr>
        <w:t>2019年共执行工作任务（项目）6大项，共分解为16项目标任务。2019年实际完成工作任务（项目）14项，实际完成率87.50%。未完成目标任务2项，具体为：</w:t>
      </w:r>
    </w:p>
    <w:p>
      <w:pPr>
        <w:spacing w:line="360" w:lineRule="auto"/>
        <w:ind w:firstLine="640" w:firstLineChars="200"/>
        <w:rPr>
          <w:rStyle w:val="43"/>
          <w:rFonts w:hint="default" w:hAnsi="Mongolian Baiti" w:cs="Mongolian Baiti"/>
        </w:rPr>
      </w:pPr>
      <w:r>
        <w:rPr>
          <w:rStyle w:val="43"/>
          <w:rFonts w:hint="default" w:hAnsi="Mongolian Baiti" w:cs="Mongolian Baiti"/>
          <w:szCs w:val="32"/>
        </w:rPr>
        <w:fldChar w:fldCharType="begin"/>
      </w:r>
      <w:r>
        <w:rPr>
          <w:rStyle w:val="43"/>
          <w:rFonts w:hint="default" w:hAnsi="Mongolian Baiti" w:cs="Mongolian Baiti"/>
          <w:szCs w:val="32"/>
        </w:rPr>
        <w:instrText xml:space="preserve"> = 1 \* GB3 </w:instrText>
      </w:r>
      <w:r>
        <w:rPr>
          <w:rStyle w:val="43"/>
          <w:rFonts w:hint="default" w:hAnsi="Mongolian Baiti" w:cs="Mongolian Baiti"/>
          <w:szCs w:val="32"/>
        </w:rPr>
        <w:fldChar w:fldCharType="separate"/>
      </w:r>
      <w:r>
        <w:rPr>
          <w:rStyle w:val="43"/>
          <w:rFonts w:hint="default" w:ascii="宋体" w:hAnsi="宋体" w:eastAsia="宋体" w:cs="宋体"/>
          <w:szCs w:val="32"/>
        </w:rPr>
        <w:t>①</w:t>
      </w:r>
      <w:r>
        <w:rPr>
          <w:rStyle w:val="43"/>
          <w:rFonts w:hint="default" w:hAnsi="Mongolian Baiti" w:cs="Mongolian Baiti"/>
          <w:szCs w:val="32"/>
        </w:rPr>
        <w:fldChar w:fldCharType="end"/>
      </w:r>
      <w:r>
        <w:rPr>
          <w:rStyle w:val="43"/>
          <w:rFonts w:hint="default" w:hAnsi="Mongolian Baiti" w:cs="Mongolian Baiti"/>
        </w:rPr>
        <w:t>2019年预计实现工业总产值49亿元，同比增长18.07%；实际完成工业产值43亿元。</w:t>
      </w:r>
    </w:p>
    <w:p>
      <w:pPr>
        <w:spacing w:line="360" w:lineRule="auto"/>
        <w:ind w:firstLine="640" w:firstLineChars="200"/>
        <w:rPr>
          <w:rStyle w:val="43"/>
          <w:rFonts w:hint="default" w:hAnsi="Mongolian Baiti" w:cs="Mongolian Baiti"/>
        </w:rPr>
      </w:pPr>
      <w:r>
        <w:rPr>
          <w:rStyle w:val="43"/>
          <w:rFonts w:hint="default" w:hAnsi="Mongolian Baiti" w:cs="Mongolian Baiti"/>
          <w:szCs w:val="32"/>
        </w:rPr>
        <w:fldChar w:fldCharType="begin"/>
      </w:r>
      <w:r>
        <w:rPr>
          <w:rStyle w:val="43"/>
          <w:rFonts w:hint="default" w:hAnsi="Mongolian Baiti" w:cs="Mongolian Baiti"/>
          <w:szCs w:val="32"/>
        </w:rPr>
        <w:instrText xml:space="preserve"> = 2 \* GB3 </w:instrText>
      </w:r>
      <w:r>
        <w:rPr>
          <w:rStyle w:val="43"/>
          <w:rFonts w:hint="default" w:hAnsi="Mongolian Baiti" w:cs="Mongolian Baiti"/>
          <w:szCs w:val="32"/>
        </w:rPr>
        <w:fldChar w:fldCharType="separate"/>
      </w:r>
      <w:r>
        <w:rPr>
          <w:rStyle w:val="43"/>
          <w:rFonts w:hint="default" w:ascii="宋体" w:hAnsi="宋体" w:eastAsia="宋体" w:cs="宋体"/>
          <w:szCs w:val="32"/>
        </w:rPr>
        <w:t>②</w:t>
      </w:r>
      <w:r>
        <w:rPr>
          <w:rStyle w:val="43"/>
          <w:rFonts w:hint="default" w:hAnsi="Mongolian Baiti" w:cs="Mongolian Baiti"/>
          <w:szCs w:val="32"/>
        </w:rPr>
        <w:fldChar w:fldCharType="end"/>
      </w:r>
      <w:r>
        <w:rPr>
          <w:rStyle w:val="43"/>
          <w:rFonts w:hint="default" w:hAnsi="Mongolian Baiti" w:cs="Mongolian Baiti"/>
          <w:szCs w:val="32"/>
        </w:rPr>
        <w:t>2019年预计完成</w:t>
      </w:r>
      <w:r>
        <w:rPr>
          <w:rStyle w:val="43"/>
          <w:rFonts w:hint="default" w:hAnsi="Mongolian Baiti" w:cs="Mongolian Baiti"/>
        </w:rPr>
        <w:t>固定资产投资4.5亿元，同比增长104.5%；实际完成3亿。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（2）完成</w:t>
      </w:r>
      <w:r>
        <w:rPr>
          <w:rFonts w:ascii="仿宋" w:hAnsi="仿宋" w:eastAsia="仿宋"/>
          <w:sz w:val="32"/>
          <w:szCs w:val="32"/>
        </w:rPr>
        <w:t>及时率</w:t>
      </w:r>
    </w:p>
    <w:p>
      <w:pPr>
        <w:spacing w:line="360" w:lineRule="auto"/>
        <w:ind w:firstLine="640" w:firstLineChars="200"/>
        <w:rPr>
          <w:rStyle w:val="43"/>
          <w:rFonts w:hint="default" w:hAnsi="Mongolian Baiti" w:cs="Mongolian Baiti"/>
          <w:szCs w:val="32"/>
        </w:rPr>
      </w:pPr>
      <w:r>
        <w:rPr>
          <w:rFonts w:hint="eastAsia" w:ascii="仿宋" w:hAnsi="仿宋" w:eastAsia="仿宋"/>
          <w:sz w:val="32"/>
          <w:szCs w:val="32"/>
        </w:rPr>
        <w:t>根据上述2019</w:t>
      </w:r>
      <w:r>
        <w:rPr>
          <w:rFonts w:ascii="仿宋" w:hAnsi="仿宋" w:eastAsia="仿宋"/>
          <w:sz w:val="32"/>
          <w:szCs w:val="32"/>
        </w:rPr>
        <w:t>年度</w:t>
      </w:r>
      <w:r>
        <w:rPr>
          <w:rFonts w:hint="eastAsia" w:ascii="仿宋" w:hAnsi="仿宋" w:eastAsia="仿宋"/>
          <w:sz w:val="32"/>
          <w:szCs w:val="32"/>
        </w:rPr>
        <w:t>工作</w:t>
      </w:r>
      <w:r>
        <w:rPr>
          <w:rFonts w:ascii="仿宋" w:hAnsi="仿宋" w:eastAsia="仿宋"/>
          <w:sz w:val="32"/>
          <w:szCs w:val="32"/>
        </w:rPr>
        <w:t>计划及完成</w:t>
      </w:r>
      <w:r>
        <w:rPr>
          <w:rFonts w:hint="eastAsia" w:ascii="仿宋" w:hAnsi="仿宋" w:eastAsia="仿宋"/>
          <w:sz w:val="32"/>
          <w:szCs w:val="32"/>
        </w:rPr>
        <w:t>情况分析</w:t>
      </w:r>
      <w:r>
        <w:rPr>
          <w:rFonts w:ascii="仿宋" w:hAnsi="仿宋" w:eastAsia="仿宋"/>
          <w:sz w:val="32"/>
          <w:szCs w:val="32"/>
        </w:rPr>
        <w:t>，</w:t>
      </w:r>
      <w:r>
        <w:rPr>
          <w:rFonts w:hint="eastAsia" w:ascii="仿宋" w:hAnsi="仿宋" w:eastAsia="仿宋"/>
          <w:sz w:val="32"/>
          <w:szCs w:val="32"/>
        </w:rPr>
        <w:t>项目年度目标</w:t>
      </w:r>
      <w:r>
        <w:rPr>
          <w:rFonts w:ascii="仿宋" w:hAnsi="仿宋" w:eastAsia="仿宋"/>
          <w:sz w:val="32"/>
          <w:szCs w:val="32"/>
        </w:rPr>
        <w:t>任务</w:t>
      </w:r>
      <w:r>
        <w:rPr>
          <w:rFonts w:hint="eastAsia" w:ascii="仿宋" w:hAnsi="仿宋" w:eastAsia="仿宋"/>
          <w:sz w:val="32"/>
          <w:szCs w:val="32"/>
        </w:rPr>
        <w:t>完成</w:t>
      </w:r>
      <w:r>
        <w:rPr>
          <w:rFonts w:ascii="仿宋" w:hAnsi="仿宋" w:eastAsia="仿宋"/>
          <w:sz w:val="32"/>
          <w:szCs w:val="32"/>
        </w:rPr>
        <w:t>及时率</w:t>
      </w:r>
      <w:r>
        <w:rPr>
          <w:rStyle w:val="43"/>
          <w:rFonts w:hint="default" w:hAnsi="Mongolian Baiti" w:cs="Mongolian Baiti"/>
          <w:szCs w:val="32"/>
        </w:rPr>
        <w:t>87.50%。</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（3）质量达标及重点工作办结率</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通过检查、分析</w:t>
      </w:r>
      <w:r>
        <w:rPr>
          <w:rStyle w:val="43"/>
          <w:rFonts w:hint="default" w:hAnsi="Mongolian Baiti" w:cs="Mongolian Baiti"/>
        </w:rPr>
        <w:t>勐海工业园区管理委员</w:t>
      </w:r>
      <w:r>
        <w:rPr>
          <w:rStyle w:val="43"/>
          <w:rFonts w:hint="default" w:hAnsi="Mongolian Baiti" w:cs="Mongolian Baiti"/>
          <w:szCs w:val="32"/>
        </w:rPr>
        <w:t>部门整体自评及项目自评情况，项目基本完成了预定的绩效目标，整体目标完成质量较好。上述开展工作均为工业园区重点工作，重点工作办结率为87.50%。</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4.效果指标评价</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（1）经济效益</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截止2019年末入园企业达到68户，园区工业总产值、主营业务收入以及利税金额均比上一年度增长。且单位2019年期间制定并印发了《勐海工业园区入园企业管理办法》，规范了园区企业及项目准入、运营和管理，加快园区产业发展壮大，提高入园企业项目质量，促进园区健康快速发展，打造经济效益好、资源消耗低、环境污染少的特色产业园区提供坚强的制度保障。同时，勐海工业园区管委会主动服务和全力推动我县经济建设，当好推动云南跨越发展的参谋助手，全力做好重点领域改革的服务工作，落实省委各项重大改革任务，进一步增强看齐意识，着力打造一流的工作境界，全面提升经济发展质量和效益，对经济社会运行提供保障。</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（2）社会效益</w:t>
      </w:r>
    </w:p>
    <w:p>
      <w:pPr>
        <w:spacing w:line="560" w:lineRule="exact"/>
        <w:ind w:firstLine="640" w:firstLineChars="200"/>
        <w:rPr>
          <w:rStyle w:val="43"/>
          <w:rFonts w:hint="default" w:hAnsi="Mongolian Baiti" w:cs="Mongolian Baiti"/>
          <w:szCs w:val="32"/>
        </w:rPr>
      </w:pPr>
      <w:r>
        <w:rPr>
          <w:rFonts w:hint="eastAsia" w:ascii="仿宋_GB2312" w:hAnsi="Arial Narrow" w:eastAsia="仿宋_GB2312"/>
          <w:sz w:val="32"/>
          <w:szCs w:val="32"/>
        </w:rPr>
        <w:t>勐海工业园管理委员会在中共勐海县委、勐海县人民政府的领导下，认真贯彻落实省、州推进工业跨越、工业转型升级、民营经济发展、园区经济发展和县委、县政府《关于推进勐海工业园区跨越发展的实施意见》精神，打好“县域经济、园区经济、民营经济”三大战役，紧紧抓住勐海县着力打造“中国普洱茶知名品牌示范区”、“中国普洱茶第一县”这两张名片所带来的发展机遇，扎实推进园区工作有序开展，推动了工作落实、促进了作风转变，有力地促进了园区经济、基础设施、招商引资的全面发展，确保了园区经济持续较快增长以及勐海工业跨越、工业转型升级、民营经济发展。</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（3）生态效益</w:t>
      </w:r>
    </w:p>
    <w:p>
      <w:pPr>
        <w:spacing w:line="360" w:lineRule="auto"/>
        <w:ind w:firstLine="640" w:firstLineChars="200"/>
        <w:rPr>
          <w:rStyle w:val="43"/>
          <w:rFonts w:hint="default" w:hAnsi="Mongolian Baiti" w:cs="Mongolian Baiti"/>
          <w:szCs w:val="32"/>
        </w:rPr>
      </w:pPr>
      <w:r>
        <w:rPr>
          <w:rFonts w:hint="eastAsia" w:ascii="仿宋_GB2312" w:hAnsi="Arial Narrow" w:eastAsia="仿宋_GB2312"/>
          <w:sz w:val="32"/>
          <w:szCs w:val="32"/>
        </w:rPr>
        <w:t>勐海工业园管理委员会在</w:t>
      </w:r>
      <w:r>
        <w:rPr>
          <w:rFonts w:ascii="仿宋_GB2312" w:hAnsi="Arial Narrow" w:eastAsia="仿宋_GB2312"/>
          <w:sz w:val="32"/>
          <w:szCs w:val="32"/>
        </w:rPr>
        <w:t>大力推进产业发展的基础上</w:t>
      </w:r>
      <w:r>
        <w:rPr>
          <w:rFonts w:hint="eastAsia" w:ascii="仿宋_GB2312" w:hAnsi="Arial Narrow" w:eastAsia="仿宋_GB2312"/>
          <w:sz w:val="32"/>
          <w:szCs w:val="32"/>
        </w:rPr>
        <w:t>，有度有序利用自然，划定并严守生态保护红线，构建科学合理的城市化格局、农业发展格局和生态安全格局，推进中国普洱茶知名品牌示范区”、“中国普洱茶第一县”这两张名片所带来的发展机遇。加快建设主体功能区，完善开发政策，控制开发强度，规范开发秩序，逐步形成人口、经济、资源环境相协调的国土空间开发保护新格局。</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（4）可持续性</w:t>
      </w:r>
    </w:p>
    <w:p>
      <w:pPr>
        <w:spacing w:line="360" w:lineRule="auto"/>
        <w:ind w:firstLine="640" w:firstLineChars="200"/>
        <w:rPr>
          <w:rStyle w:val="43"/>
          <w:rFonts w:hint="default" w:hAnsi="Arial Narrow"/>
          <w:szCs w:val="32"/>
        </w:rPr>
      </w:pPr>
      <w:r>
        <w:rPr>
          <w:rFonts w:hint="eastAsia" w:ascii="仿宋_GB2312" w:hAnsi="Arial Narrow" w:eastAsia="仿宋_GB2312"/>
          <w:sz w:val="32"/>
          <w:szCs w:val="32"/>
        </w:rPr>
        <w:t>勐海工业园管理委员会</w:t>
      </w:r>
      <w:r>
        <w:rPr>
          <w:rFonts w:ascii="仿宋_GB2312" w:hAnsi="Arial Narrow" w:eastAsia="仿宋_GB2312"/>
          <w:sz w:val="32"/>
          <w:szCs w:val="32"/>
        </w:rPr>
        <w:t>以经济发展为基础，环境和资源发展作为必要条件，从多方面保障了</w:t>
      </w:r>
      <w:r>
        <w:rPr>
          <w:rFonts w:hint="eastAsia" w:ascii="仿宋_GB2312" w:hAnsi="Arial Narrow" w:eastAsia="仿宋_GB2312"/>
          <w:sz w:val="32"/>
          <w:szCs w:val="32"/>
        </w:rPr>
        <w:t>工业</w:t>
      </w:r>
      <w:r>
        <w:rPr>
          <w:rFonts w:ascii="仿宋_GB2312" w:hAnsi="Arial Narrow" w:eastAsia="仿宋_GB2312"/>
          <w:sz w:val="32"/>
          <w:szCs w:val="32"/>
        </w:rPr>
        <w:t>园区的经济可持续发展、生态可持续发展和社会可持续发展。</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（5）社会公众或服务对象满意度</w:t>
      </w:r>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评价组采用问卷调查和访谈方式，对服务对象以及社会公众发放了60份调查问卷，收回有效问卷56份，根据调查问卷结果分析，社会公众和服务对象对</w:t>
      </w:r>
      <w:r>
        <w:rPr>
          <w:rFonts w:hint="eastAsia" w:ascii="仿宋_GB2312" w:hAnsi="Arial Narrow" w:eastAsia="仿宋_GB2312"/>
          <w:sz w:val="32"/>
          <w:szCs w:val="32"/>
        </w:rPr>
        <w:t>勐海工业园管理委员会</w:t>
      </w:r>
      <w:r>
        <w:rPr>
          <w:rStyle w:val="43"/>
          <w:rFonts w:hint="default" w:hAnsi="Mongolian Baiti" w:cs="Mongolian Baiti"/>
          <w:szCs w:val="32"/>
        </w:rPr>
        <w:t>的综合满意度为86.31%。</w:t>
      </w:r>
    </w:p>
    <w:p>
      <w:pPr>
        <w:pStyle w:val="3"/>
        <w:spacing w:before="0" w:after="0" w:line="600" w:lineRule="exact"/>
        <w:ind w:firstLine="643" w:firstLineChars="200"/>
        <w:rPr>
          <w:rFonts w:ascii="黑体" w:hAnsi="黑体" w:eastAsia="黑体"/>
          <w:color w:val="000000"/>
          <w:sz w:val="32"/>
          <w:szCs w:val="32"/>
        </w:rPr>
      </w:pPr>
      <w:bookmarkStart w:id="28" w:name="_Toc54790343"/>
      <w:r>
        <w:rPr>
          <w:rFonts w:hint="eastAsia" w:ascii="黑体" w:hAnsi="黑体" w:eastAsia="黑体"/>
          <w:color w:val="000000"/>
          <w:sz w:val="32"/>
          <w:szCs w:val="32"/>
        </w:rPr>
        <w:t>五</w:t>
      </w:r>
      <w:r>
        <w:rPr>
          <w:rFonts w:ascii="黑体" w:hAnsi="黑体" w:eastAsia="黑体"/>
          <w:color w:val="000000"/>
          <w:sz w:val="32"/>
          <w:szCs w:val="32"/>
        </w:rPr>
        <w:t>、</w:t>
      </w:r>
      <w:r>
        <w:rPr>
          <w:rFonts w:hint="eastAsia" w:ascii="黑体" w:hAnsi="黑体" w:eastAsia="黑体"/>
          <w:color w:val="000000"/>
          <w:sz w:val="32"/>
          <w:szCs w:val="32"/>
        </w:rPr>
        <w:t>存在的</w:t>
      </w:r>
      <w:r>
        <w:rPr>
          <w:rFonts w:ascii="黑体" w:hAnsi="黑体" w:eastAsia="黑体"/>
          <w:color w:val="000000"/>
          <w:sz w:val="32"/>
          <w:szCs w:val="32"/>
        </w:rPr>
        <w:t>问题</w:t>
      </w:r>
      <w:bookmarkEnd w:id="28"/>
    </w:p>
    <w:p>
      <w:pPr>
        <w:pStyle w:val="4"/>
        <w:spacing w:before="0" w:after="0" w:line="360" w:lineRule="auto"/>
        <w:ind w:firstLine="643" w:firstLineChars="200"/>
        <w:rPr>
          <w:rFonts w:ascii="楷体_GB2312" w:eastAsia="楷体_GB2312" w:cs="Times New Roman"/>
          <w:color w:val="000000"/>
        </w:rPr>
      </w:pPr>
      <w:bookmarkStart w:id="29" w:name="_Toc54790344"/>
      <w:r>
        <w:rPr>
          <w:rFonts w:ascii="楷体_GB2312" w:hAnsi="华文楷体" w:eastAsia="楷体_GB2312" w:cs="Times New Roman"/>
          <w:color w:val="000000"/>
        </w:rPr>
        <w:t>（一）</w:t>
      </w:r>
      <w:r>
        <w:rPr>
          <w:rFonts w:hint="eastAsia" w:ascii="仿宋_GB2312" w:eastAsia="仿宋_GB2312"/>
          <w:color w:val="000000"/>
        </w:rPr>
        <w:t>单位内控管理制度不够健全</w:t>
      </w:r>
      <w:bookmarkEnd w:id="29"/>
    </w:p>
    <w:p>
      <w:pPr>
        <w:spacing w:line="560" w:lineRule="exact"/>
        <w:ind w:firstLine="640" w:firstLineChars="200"/>
        <w:rPr>
          <w:rStyle w:val="43"/>
          <w:rFonts w:hint="default" w:hAnsi="Mongolian Baiti" w:cs="Mongolian Baiti"/>
          <w:szCs w:val="32"/>
        </w:rPr>
      </w:pPr>
      <w:r>
        <w:rPr>
          <w:rFonts w:hint="eastAsia" w:ascii="仿宋_GB2312" w:hAnsi="Arial Narrow" w:eastAsia="仿宋_GB2312"/>
          <w:sz w:val="32"/>
          <w:szCs w:val="32"/>
        </w:rPr>
        <w:t>勐海工业园管理委员会</w:t>
      </w:r>
      <w:r>
        <w:rPr>
          <w:rStyle w:val="43"/>
          <w:rFonts w:hint="default" w:hAnsi="Mongolian Baiti" w:cs="Mongolian Baiti"/>
          <w:szCs w:val="32"/>
        </w:rPr>
        <w:t>管理制度不够健全，未制定单位预算资金管理制度、专项资金管理制度、政府采购制度、预算绩效（跟踪）管理及绩效考核办法等内控制度，内控管理制度待建立健全。已建立制度内容简约、不完整，达不到管理的需求及效果。</w:t>
      </w:r>
    </w:p>
    <w:p>
      <w:pPr>
        <w:pStyle w:val="4"/>
        <w:spacing w:before="0" w:after="0" w:line="360" w:lineRule="auto"/>
        <w:ind w:firstLine="643" w:firstLineChars="200"/>
        <w:rPr>
          <w:rFonts w:ascii="楷体_GB2312" w:eastAsia="楷体_GB2312" w:cs="Times New Roman"/>
          <w:color w:val="000000"/>
        </w:rPr>
      </w:pPr>
      <w:bookmarkStart w:id="30" w:name="_Toc54790345"/>
      <w:r>
        <w:rPr>
          <w:rFonts w:ascii="楷体_GB2312" w:hAnsi="华文楷体" w:eastAsia="楷体_GB2312" w:cs="Times New Roman"/>
          <w:color w:val="000000"/>
        </w:rPr>
        <w:t>（</w:t>
      </w:r>
      <w:r>
        <w:rPr>
          <w:rFonts w:hint="eastAsia" w:ascii="楷体_GB2312" w:hAnsi="华文楷体" w:eastAsia="楷体_GB2312" w:cs="Times New Roman"/>
          <w:color w:val="000000"/>
        </w:rPr>
        <w:t>二</w:t>
      </w:r>
      <w:r>
        <w:rPr>
          <w:rFonts w:ascii="楷体_GB2312" w:hAnsi="华文楷体" w:eastAsia="楷体_GB2312" w:cs="Times New Roman"/>
          <w:color w:val="000000"/>
        </w:rPr>
        <w:t>）</w:t>
      </w:r>
      <w:r>
        <w:rPr>
          <w:rStyle w:val="43"/>
          <w:rFonts w:hint="default" w:hAnsi="Mongolian Baiti" w:cs="Mongolian Baiti"/>
        </w:rPr>
        <w:t>单位绩效跟踪管理及考核工作</w:t>
      </w:r>
      <w:r>
        <w:rPr>
          <w:rFonts w:hint="eastAsia" w:ascii="仿宋_GB2312" w:eastAsia="仿宋_GB2312"/>
          <w:color w:val="000000"/>
        </w:rPr>
        <w:t>待加强</w:t>
      </w:r>
      <w:bookmarkEnd w:id="30"/>
    </w:p>
    <w:p>
      <w:pPr>
        <w:spacing w:line="360" w:lineRule="auto"/>
        <w:ind w:firstLine="640" w:firstLineChars="200"/>
        <w:rPr>
          <w:rFonts w:ascii="仿宋_GB2312" w:eastAsia="仿宋_GB2312"/>
          <w:bCs/>
          <w:sz w:val="32"/>
          <w:szCs w:val="32"/>
        </w:rPr>
      </w:pPr>
      <w:r>
        <w:rPr>
          <w:rFonts w:hint="eastAsia" w:ascii="仿宋_GB2312" w:hAnsi="Arial Narrow" w:eastAsia="仿宋_GB2312"/>
          <w:sz w:val="32"/>
          <w:szCs w:val="32"/>
        </w:rPr>
        <w:t>勐海工业园管理委员会</w:t>
      </w:r>
      <w:r>
        <w:rPr>
          <w:rFonts w:hint="eastAsia" w:ascii="仿宋_GB2312" w:eastAsia="仿宋_GB2312"/>
          <w:bCs/>
          <w:sz w:val="32"/>
          <w:szCs w:val="32"/>
        </w:rPr>
        <w:t>单位</w:t>
      </w:r>
      <w:r>
        <w:rPr>
          <w:rFonts w:ascii="仿宋_GB2312" w:eastAsia="仿宋_GB2312"/>
          <w:bCs/>
          <w:sz w:val="32"/>
          <w:szCs w:val="32"/>
        </w:rPr>
        <w:t>绩效目标管理及项目</w:t>
      </w:r>
      <w:r>
        <w:rPr>
          <w:rFonts w:hint="eastAsia" w:ascii="仿宋_GB2312" w:eastAsia="仿宋_GB2312"/>
          <w:bCs/>
          <w:sz w:val="32"/>
          <w:szCs w:val="32"/>
        </w:rPr>
        <w:t>过程</w:t>
      </w:r>
      <w:r>
        <w:rPr>
          <w:rFonts w:ascii="仿宋_GB2312" w:eastAsia="仿宋_GB2312"/>
          <w:bCs/>
          <w:sz w:val="32"/>
          <w:szCs w:val="32"/>
        </w:rPr>
        <w:t>绩效跟踪</w:t>
      </w:r>
      <w:r>
        <w:rPr>
          <w:rFonts w:hint="eastAsia" w:ascii="仿宋_GB2312" w:eastAsia="仿宋_GB2312"/>
          <w:bCs/>
          <w:sz w:val="32"/>
          <w:szCs w:val="32"/>
        </w:rPr>
        <w:t>管理</w:t>
      </w:r>
      <w:r>
        <w:rPr>
          <w:rFonts w:ascii="仿宋_GB2312" w:eastAsia="仿宋_GB2312"/>
          <w:bCs/>
          <w:sz w:val="32"/>
          <w:szCs w:val="32"/>
        </w:rPr>
        <w:t>及考核机制不健全，</w:t>
      </w:r>
      <w:r>
        <w:rPr>
          <w:rFonts w:hint="eastAsia" w:ascii="仿宋_GB2312" w:eastAsia="仿宋_GB2312"/>
          <w:bCs/>
          <w:sz w:val="32"/>
          <w:szCs w:val="32"/>
        </w:rPr>
        <w:t>项目绩效</w:t>
      </w:r>
      <w:r>
        <w:rPr>
          <w:rFonts w:ascii="仿宋_GB2312" w:eastAsia="仿宋_GB2312"/>
          <w:bCs/>
          <w:sz w:val="32"/>
          <w:szCs w:val="32"/>
        </w:rPr>
        <w:t>自评</w:t>
      </w:r>
      <w:r>
        <w:rPr>
          <w:rFonts w:hint="eastAsia" w:ascii="仿宋_GB2312" w:eastAsia="仿宋_GB2312"/>
          <w:bCs/>
          <w:sz w:val="32"/>
          <w:szCs w:val="32"/>
        </w:rPr>
        <w:t>报告</w:t>
      </w:r>
      <w:r>
        <w:rPr>
          <w:rFonts w:ascii="仿宋_GB2312" w:eastAsia="仿宋_GB2312"/>
          <w:bCs/>
          <w:sz w:val="32"/>
          <w:szCs w:val="32"/>
        </w:rPr>
        <w:t>内容不够</w:t>
      </w:r>
      <w:r>
        <w:rPr>
          <w:rFonts w:hint="eastAsia" w:ascii="仿宋_GB2312" w:eastAsia="仿宋_GB2312"/>
          <w:bCs/>
          <w:sz w:val="32"/>
          <w:szCs w:val="32"/>
        </w:rPr>
        <w:t>完整</w:t>
      </w:r>
      <w:r>
        <w:rPr>
          <w:rFonts w:ascii="仿宋_GB2312" w:eastAsia="仿宋_GB2312"/>
          <w:bCs/>
          <w:sz w:val="32"/>
          <w:szCs w:val="32"/>
        </w:rPr>
        <w:t>，</w:t>
      </w:r>
      <w:r>
        <w:rPr>
          <w:rFonts w:hint="eastAsia" w:ascii="仿宋_GB2312" w:eastAsia="仿宋_GB2312"/>
          <w:bCs/>
          <w:sz w:val="32"/>
          <w:szCs w:val="32"/>
        </w:rPr>
        <w:t>项目</w:t>
      </w:r>
      <w:r>
        <w:rPr>
          <w:rFonts w:ascii="仿宋_GB2312" w:eastAsia="仿宋_GB2312"/>
          <w:bCs/>
          <w:sz w:val="32"/>
          <w:szCs w:val="32"/>
        </w:rPr>
        <w:t>实施过程绩效跟踪，绩效管理</w:t>
      </w:r>
      <w:r>
        <w:rPr>
          <w:rFonts w:hint="eastAsia" w:ascii="仿宋_GB2312" w:eastAsia="仿宋_GB2312"/>
          <w:bCs/>
          <w:sz w:val="32"/>
          <w:szCs w:val="32"/>
        </w:rPr>
        <w:t>考核痕迹</w:t>
      </w:r>
      <w:r>
        <w:rPr>
          <w:rFonts w:ascii="仿宋_GB2312" w:eastAsia="仿宋_GB2312"/>
          <w:bCs/>
          <w:sz w:val="32"/>
          <w:szCs w:val="32"/>
        </w:rPr>
        <w:t>资料不完善，绩效管理</w:t>
      </w:r>
      <w:r>
        <w:rPr>
          <w:rFonts w:hint="eastAsia" w:ascii="仿宋_GB2312" w:eastAsia="仿宋_GB2312"/>
          <w:sz w:val="32"/>
          <w:szCs w:val="32"/>
        </w:rPr>
        <w:t>工作待加强</w:t>
      </w:r>
      <w:r>
        <w:rPr>
          <w:rFonts w:hint="eastAsia" w:ascii="仿宋_GB2312" w:eastAsia="仿宋_GB2312"/>
          <w:bCs/>
          <w:sz w:val="32"/>
          <w:szCs w:val="32"/>
        </w:rPr>
        <w:t>。</w:t>
      </w:r>
    </w:p>
    <w:p>
      <w:pPr>
        <w:pStyle w:val="4"/>
        <w:spacing w:before="0" w:after="0" w:line="360" w:lineRule="auto"/>
        <w:ind w:firstLine="643" w:firstLineChars="200"/>
        <w:rPr>
          <w:rFonts w:ascii="楷体_GB2312" w:eastAsia="楷体_GB2312" w:cs="Times New Roman"/>
          <w:color w:val="000000"/>
        </w:rPr>
      </w:pPr>
      <w:bookmarkStart w:id="31" w:name="_Toc54790346"/>
      <w:r>
        <w:rPr>
          <w:rFonts w:ascii="楷体_GB2312" w:hAnsi="华文楷体" w:eastAsia="楷体_GB2312" w:cs="Times New Roman"/>
          <w:color w:val="000000"/>
        </w:rPr>
        <w:t>（</w:t>
      </w:r>
      <w:r>
        <w:rPr>
          <w:rFonts w:hint="eastAsia" w:ascii="楷体_GB2312" w:hAnsi="华文楷体" w:eastAsia="楷体_GB2312" w:cs="Times New Roman"/>
          <w:color w:val="000000"/>
        </w:rPr>
        <w:t>三</w:t>
      </w:r>
      <w:r>
        <w:rPr>
          <w:rFonts w:ascii="楷体_GB2312" w:hAnsi="华文楷体" w:eastAsia="楷体_GB2312" w:cs="Times New Roman"/>
          <w:color w:val="000000"/>
        </w:rPr>
        <w:t>）</w:t>
      </w:r>
      <w:r>
        <w:rPr>
          <w:rFonts w:hint="eastAsia" w:ascii="楷体_GB2312" w:hAnsi="华文楷体" w:eastAsia="楷体_GB2312" w:cs="Times New Roman"/>
          <w:color w:val="000000"/>
        </w:rPr>
        <w:t>资金</w:t>
      </w:r>
      <w:r>
        <w:rPr>
          <w:rFonts w:ascii="楷体_GB2312" w:hAnsi="华文楷体" w:eastAsia="楷体_GB2312" w:cs="Times New Roman"/>
          <w:color w:val="000000"/>
        </w:rPr>
        <w:t>结转</w:t>
      </w:r>
      <w:r>
        <w:rPr>
          <w:rFonts w:hint="eastAsia" w:ascii="楷体_GB2312" w:hAnsi="华文楷体" w:eastAsia="楷体_GB2312" w:cs="Times New Roman"/>
          <w:color w:val="000000"/>
        </w:rPr>
        <w:t>（结余）金额</w:t>
      </w:r>
      <w:r>
        <w:rPr>
          <w:rFonts w:ascii="楷体_GB2312" w:hAnsi="华文楷体" w:eastAsia="楷体_GB2312" w:cs="Times New Roman"/>
          <w:color w:val="000000"/>
        </w:rPr>
        <w:t>较大</w:t>
      </w:r>
      <w:r>
        <w:rPr>
          <w:rFonts w:hint="eastAsia" w:ascii="楷体_GB2312" w:hAnsi="华文楷体" w:eastAsia="楷体_GB2312" w:cs="Times New Roman"/>
          <w:color w:val="000000"/>
        </w:rPr>
        <w:t>，</w:t>
      </w:r>
      <w:r>
        <w:rPr>
          <w:rStyle w:val="43"/>
          <w:rFonts w:hint="default" w:hAnsi="Mongolian Baiti" w:cs="Mongolian Baiti"/>
        </w:rPr>
        <w:t>预算执行待加强。</w:t>
      </w:r>
      <w:bookmarkEnd w:id="31"/>
    </w:p>
    <w:p>
      <w:pPr>
        <w:spacing w:line="560" w:lineRule="exact"/>
        <w:ind w:firstLine="640" w:firstLineChars="200"/>
        <w:rPr>
          <w:rFonts w:ascii="仿宋_GB2312" w:eastAsia="仿宋_GB2312"/>
          <w:bCs/>
          <w:sz w:val="32"/>
          <w:szCs w:val="32"/>
        </w:rPr>
      </w:pPr>
      <w:r>
        <w:rPr>
          <w:rFonts w:hint="eastAsia" w:ascii="仿宋_GB2312" w:hAnsi="Arial Narrow" w:eastAsia="仿宋_GB2312"/>
          <w:sz w:val="32"/>
          <w:szCs w:val="32"/>
        </w:rPr>
        <w:t>勐海工业园管理委员会</w:t>
      </w:r>
      <w:r>
        <w:rPr>
          <w:rFonts w:hint="eastAsia" w:ascii="仿宋_GB2312" w:hAnsi="仿宋" w:eastAsia="仿宋_GB2312"/>
          <w:sz w:val="32"/>
          <w:szCs w:val="32"/>
        </w:rPr>
        <w:t>2019年末项目支出</w:t>
      </w:r>
      <w:r>
        <w:rPr>
          <w:rFonts w:ascii="仿宋_GB2312" w:hAnsi="仿宋" w:eastAsia="仿宋_GB2312"/>
          <w:sz w:val="32"/>
          <w:szCs w:val="32"/>
        </w:rPr>
        <w:t>结转（</w:t>
      </w:r>
      <w:r>
        <w:rPr>
          <w:rFonts w:hint="eastAsia" w:ascii="仿宋_GB2312" w:hAnsi="仿宋" w:eastAsia="仿宋_GB2312"/>
          <w:sz w:val="32"/>
          <w:szCs w:val="32"/>
        </w:rPr>
        <w:t>结余</w:t>
      </w:r>
      <w:r>
        <w:rPr>
          <w:rFonts w:ascii="仿宋_GB2312" w:hAnsi="仿宋" w:eastAsia="仿宋_GB2312"/>
          <w:sz w:val="32"/>
          <w:szCs w:val="32"/>
        </w:rPr>
        <w:t>）</w:t>
      </w:r>
      <w:r>
        <w:rPr>
          <w:rFonts w:hint="eastAsia" w:ascii="仿宋_GB2312" w:hAnsi="仿宋" w:eastAsia="仿宋_GB2312"/>
          <w:sz w:val="32"/>
          <w:szCs w:val="32"/>
        </w:rPr>
        <w:t xml:space="preserve">    </w:t>
      </w:r>
      <w:r>
        <w:rPr>
          <w:rFonts w:ascii="仿宋_GB2312" w:hAnsi="仿宋" w:eastAsia="仿宋_GB2312"/>
          <w:sz w:val="32"/>
          <w:szCs w:val="32"/>
        </w:rPr>
        <w:t>9</w:t>
      </w:r>
      <w:r>
        <w:rPr>
          <w:rFonts w:hint="eastAsia" w:ascii="仿宋_GB2312" w:hAnsi="仿宋" w:eastAsia="仿宋_GB2312"/>
          <w:sz w:val="32"/>
          <w:szCs w:val="32"/>
        </w:rPr>
        <w:t>,</w:t>
      </w:r>
      <w:r>
        <w:rPr>
          <w:rFonts w:ascii="仿宋_GB2312" w:hAnsi="仿宋" w:eastAsia="仿宋_GB2312"/>
          <w:sz w:val="32"/>
          <w:szCs w:val="32"/>
        </w:rPr>
        <w:t>814</w:t>
      </w:r>
      <w:r>
        <w:rPr>
          <w:rFonts w:hint="eastAsia" w:ascii="仿宋_GB2312" w:hAnsi="仿宋" w:eastAsia="仿宋_GB2312"/>
          <w:sz w:val="32"/>
          <w:szCs w:val="32"/>
        </w:rPr>
        <w:t>,</w:t>
      </w:r>
      <w:r>
        <w:rPr>
          <w:rFonts w:ascii="仿宋_GB2312" w:hAnsi="仿宋" w:eastAsia="仿宋_GB2312"/>
          <w:sz w:val="32"/>
          <w:szCs w:val="32"/>
        </w:rPr>
        <w:t>494.67</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项目资金</w:t>
      </w:r>
      <w:r>
        <w:rPr>
          <w:rFonts w:ascii="仿宋_GB2312" w:hAnsi="仿宋" w:eastAsia="仿宋_GB2312"/>
          <w:sz w:val="32"/>
          <w:szCs w:val="32"/>
        </w:rPr>
        <w:t>结转（</w:t>
      </w:r>
      <w:r>
        <w:rPr>
          <w:rFonts w:hint="eastAsia" w:ascii="仿宋_GB2312" w:hAnsi="仿宋" w:eastAsia="仿宋_GB2312"/>
          <w:sz w:val="32"/>
          <w:szCs w:val="32"/>
        </w:rPr>
        <w:t>结余</w:t>
      </w:r>
      <w:r>
        <w:rPr>
          <w:rFonts w:ascii="仿宋_GB2312" w:hAnsi="仿宋" w:eastAsia="仿宋_GB2312"/>
          <w:sz w:val="32"/>
          <w:szCs w:val="32"/>
        </w:rPr>
        <w:t>）</w:t>
      </w:r>
      <w:r>
        <w:rPr>
          <w:rFonts w:hint="eastAsia" w:ascii="仿宋_GB2312" w:hAnsi="仿宋" w:eastAsia="仿宋_GB2312"/>
          <w:sz w:val="32"/>
          <w:szCs w:val="32"/>
        </w:rPr>
        <w:t>金额</w:t>
      </w:r>
      <w:r>
        <w:rPr>
          <w:rFonts w:ascii="仿宋_GB2312" w:hAnsi="仿宋" w:eastAsia="仿宋_GB2312"/>
          <w:sz w:val="32"/>
          <w:szCs w:val="32"/>
        </w:rPr>
        <w:t>较大，预算</w:t>
      </w:r>
      <w:r>
        <w:rPr>
          <w:rFonts w:hint="eastAsia" w:ascii="仿宋_GB2312" w:hAnsi="仿宋" w:eastAsia="仿宋_GB2312"/>
          <w:sz w:val="32"/>
          <w:szCs w:val="32"/>
        </w:rPr>
        <w:t>执行的</w:t>
      </w:r>
      <w:r>
        <w:rPr>
          <w:rFonts w:ascii="仿宋_GB2312" w:hAnsi="仿宋" w:eastAsia="仿宋_GB2312"/>
          <w:sz w:val="32"/>
          <w:szCs w:val="32"/>
        </w:rPr>
        <w:t>及时性、均衡性有待加强。</w:t>
      </w:r>
    </w:p>
    <w:p>
      <w:pPr>
        <w:pStyle w:val="4"/>
        <w:spacing w:before="0" w:after="0" w:line="360" w:lineRule="auto"/>
        <w:ind w:firstLine="643" w:firstLineChars="200"/>
        <w:rPr>
          <w:rFonts w:ascii="楷体_GB2312" w:eastAsia="楷体_GB2312" w:cs="Times New Roman"/>
          <w:color w:val="000000"/>
        </w:rPr>
      </w:pPr>
      <w:bookmarkStart w:id="32" w:name="_Toc54790347"/>
      <w:r>
        <w:rPr>
          <w:rFonts w:ascii="楷体_GB2312" w:hAnsi="华文楷体" w:eastAsia="楷体_GB2312" w:cs="Times New Roman"/>
          <w:color w:val="000000"/>
        </w:rPr>
        <w:t>（</w:t>
      </w:r>
      <w:r>
        <w:rPr>
          <w:rFonts w:hint="eastAsia" w:ascii="楷体_GB2312" w:hAnsi="华文楷体" w:eastAsia="楷体_GB2312" w:cs="Times New Roman"/>
          <w:color w:val="000000"/>
        </w:rPr>
        <w:t>四</w:t>
      </w:r>
      <w:r>
        <w:rPr>
          <w:rFonts w:ascii="楷体_GB2312" w:hAnsi="华文楷体" w:eastAsia="楷体_GB2312" w:cs="Times New Roman"/>
          <w:color w:val="000000"/>
        </w:rPr>
        <w:t>）</w:t>
      </w:r>
      <w:r>
        <w:rPr>
          <w:rStyle w:val="43"/>
          <w:rFonts w:hint="default" w:hAnsi="Mongolian Baiti" w:cs="Mongolian Baiti"/>
        </w:rPr>
        <w:t>政府采购预算管理制度落实不到位</w:t>
      </w:r>
      <w:bookmarkEnd w:id="32"/>
    </w:p>
    <w:p>
      <w:pPr>
        <w:ind w:firstLine="640" w:firstLineChars="200"/>
        <w:rPr>
          <w:rFonts w:ascii="仿宋_GB2312" w:hAnsi="Arial Narrow" w:eastAsia="仿宋_GB2312"/>
          <w:color w:val="FF0000"/>
          <w:sz w:val="32"/>
          <w:szCs w:val="32"/>
          <w:lang w:val="zh-CN"/>
        </w:rPr>
      </w:pPr>
      <w:r>
        <w:rPr>
          <w:rFonts w:hint="eastAsia" w:ascii="仿宋_GB2312" w:hAnsi="Arial Narrow" w:eastAsia="仿宋_GB2312"/>
          <w:sz w:val="32"/>
          <w:szCs w:val="32"/>
        </w:rPr>
        <w:t>勐海工业园管理委员会</w:t>
      </w:r>
      <w:r>
        <w:rPr>
          <w:rFonts w:ascii="仿宋_GB2312" w:hAnsi="仿宋" w:eastAsia="仿宋_GB2312"/>
          <w:sz w:val="32"/>
          <w:szCs w:val="32"/>
        </w:rPr>
        <w:t>未按规定进行政府采购预算的填报及决算</w:t>
      </w:r>
      <w:r>
        <w:rPr>
          <w:rFonts w:hint="eastAsia" w:ascii="仿宋_GB2312" w:hAnsi="仿宋" w:eastAsia="仿宋_GB2312"/>
          <w:sz w:val="32"/>
          <w:szCs w:val="32"/>
        </w:rPr>
        <w:t>，</w:t>
      </w:r>
      <w:r>
        <w:rPr>
          <w:rFonts w:ascii="仿宋_GB2312" w:hAnsi="仿宋" w:eastAsia="仿宋_GB2312"/>
          <w:sz w:val="32"/>
          <w:szCs w:val="32"/>
        </w:rPr>
        <w:t>年度采购工作未纳入</w:t>
      </w:r>
      <w:r>
        <w:rPr>
          <w:rFonts w:hint="eastAsia" w:ascii="仿宋_GB2312" w:hAnsi="仿宋" w:eastAsia="仿宋_GB2312"/>
          <w:sz w:val="32"/>
          <w:szCs w:val="32"/>
        </w:rPr>
        <w:t>政府</w:t>
      </w:r>
      <w:r>
        <w:rPr>
          <w:rFonts w:ascii="仿宋_GB2312" w:hAnsi="仿宋" w:eastAsia="仿宋_GB2312"/>
          <w:sz w:val="32"/>
          <w:szCs w:val="32"/>
        </w:rPr>
        <w:t>采购预算</w:t>
      </w:r>
      <w:r>
        <w:rPr>
          <w:rFonts w:hint="eastAsia" w:ascii="仿宋_GB2312" w:hAnsi="仿宋" w:eastAsia="仿宋_GB2312"/>
          <w:sz w:val="32"/>
          <w:szCs w:val="32"/>
        </w:rPr>
        <w:t>系统</w:t>
      </w:r>
      <w:r>
        <w:rPr>
          <w:rFonts w:ascii="仿宋_GB2312" w:hAnsi="仿宋" w:eastAsia="仿宋_GB2312"/>
          <w:sz w:val="32"/>
          <w:szCs w:val="32"/>
        </w:rPr>
        <w:t>管理</w:t>
      </w:r>
      <w:r>
        <w:rPr>
          <w:rFonts w:hint="eastAsia" w:ascii="仿宋_GB2312" w:hAnsi="仿宋" w:eastAsia="仿宋_GB2312"/>
          <w:sz w:val="32"/>
          <w:szCs w:val="32"/>
        </w:rPr>
        <w:t>，造成</w:t>
      </w:r>
      <w:r>
        <w:rPr>
          <w:rFonts w:ascii="仿宋_GB2312" w:hAnsi="仿宋" w:eastAsia="仿宋_GB2312"/>
          <w:sz w:val="32"/>
          <w:szCs w:val="32"/>
        </w:rPr>
        <w:t>无法对政府采购预算及决算情况进行绩效分析，政府采购预算管理制度落实不到位</w:t>
      </w:r>
      <w:r>
        <w:rPr>
          <w:rFonts w:hint="eastAsia" w:ascii="仿宋_GB2312" w:hAnsi="仿宋" w:eastAsia="仿宋_GB2312"/>
          <w:sz w:val="32"/>
          <w:szCs w:val="32"/>
        </w:rPr>
        <w:t>。</w:t>
      </w:r>
    </w:p>
    <w:p>
      <w:pPr>
        <w:pStyle w:val="4"/>
        <w:spacing w:before="0" w:after="0" w:line="360" w:lineRule="auto"/>
        <w:ind w:firstLine="643" w:firstLineChars="200"/>
        <w:rPr>
          <w:rFonts w:ascii="楷体_GB2312" w:eastAsia="楷体_GB2312" w:cs="Times New Roman"/>
          <w:color w:val="000000"/>
        </w:rPr>
      </w:pPr>
      <w:bookmarkStart w:id="33" w:name="_Toc54790348"/>
      <w:r>
        <w:rPr>
          <w:rFonts w:ascii="楷体_GB2312" w:hAnsi="华文楷体" w:eastAsia="楷体_GB2312" w:cs="Times New Roman"/>
          <w:color w:val="000000"/>
        </w:rPr>
        <w:t>（</w:t>
      </w:r>
      <w:r>
        <w:rPr>
          <w:rFonts w:hint="eastAsia" w:ascii="楷体_GB2312" w:hAnsi="华文楷体" w:eastAsia="楷体_GB2312" w:cs="Times New Roman"/>
          <w:color w:val="000000"/>
        </w:rPr>
        <w:t>五</w:t>
      </w:r>
      <w:r>
        <w:rPr>
          <w:rFonts w:ascii="楷体_GB2312" w:hAnsi="华文楷体" w:eastAsia="楷体_GB2312" w:cs="Times New Roman"/>
          <w:color w:val="000000"/>
        </w:rPr>
        <w:t>）</w:t>
      </w:r>
      <w:r>
        <w:rPr>
          <w:rFonts w:hint="eastAsia" w:ascii="仿宋_GB2312" w:eastAsia="仿宋_GB2312"/>
          <w:color w:val="000000"/>
        </w:rPr>
        <w:t>资产管理</w:t>
      </w:r>
      <w:r>
        <w:rPr>
          <w:rFonts w:ascii="仿宋_GB2312" w:eastAsia="仿宋_GB2312"/>
          <w:color w:val="000000"/>
        </w:rPr>
        <w:t>工作执行不到位</w:t>
      </w:r>
      <w:bookmarkEnd w:id="33"/>
    </w:p>
    <w:p>
      <w:pPr>
        <w:spacing w:line="560" w:lineRule="exact"/>
        <w:ind w:firstLine="640" w:firstLineChars="200"/>
        <w:rPr>
          <w:rStyle w:val="43"/>
          <w:rFonts w:hint="default" w:hAnsi="Mongolian Baiti" w:cs="Mongolian Baiti"/>
          <w:color w:val="FF0000"/>
          <w:szCs w:val="32"/>
        </w:rPr>
      </w:pPr>
      <w:r>
        <w:rPr>
          <w:rFonts w:hint="eastAsia" w:ascii="仿宋_GB2312" w:hAnsi="Arial Narrow" w:eastAsia="仿宋_GB2312"/>
          <w:sz w:val="32"/>
          <w:szCs w:val="32"/>
        </w:rPr>
        <w:t>勐海工业园管理委员会</w:t>
      </w:r>
      <w:r>
        <w:rPr>
          <w:rStyle w:val="43"/>
          <w:rFonts w:hint="default" w:hAnsi="Mongolian Baiti" w:cs="Mongolian Baiti"/>
          <w:szCs w:val="32"/>
        </w:rPr>
        <w:t>资产管理制度执行不到位，未定期进行固定资产盘存，存在已报废资产未及时清理和申报核销，账实不相符的情况；存在挂账3年以上的往来资金，未定期进行书面往来核对及清理的情况。</w:t>
      </w:r>
    </w:p>
    <w:p>
      <w:pPr>
        <w:pStyle w:val="4"/>
        <w:spacing w:before="0" w:after="0" w:line="360" w:lineRule="auto"/>
        <w:ind w:firstLine="643" w:firstLineChars="200"/>
        <w:rPr>
          <w:rFonts w:ascii="楷体_GB2312" w:hAnsi="华文楷体" w:eastAsia="楷体_GB2312" w:cs="Times New Roman"/>
          <w:color w:val="000000"/>
        </w:rPr>
      </w:pPr>
      <w:bookmarkStart w:id="34" w:name="_Toc54790349"/>
      <w:r>
        <w:rPr>
          <w:rFonts w:ascii="楷体_GB2312" w:hAnsi="华文楷体" w:eastAsia="楷体_GB2312" w:cs="Times New Roman"/>
          <w:color w:val="000000"/>
        </w:rPr>
        <w:t>（六）未按规定</w:t>
      </w:r>
      <w:r>
        <w:rPr>
          <w:rFonts w:hint="eastAsia" w:ascii="楷体_GB2312" w:hAnsi="华文楷体" w:eastAsia="楷体_GB2312" w:cs="Times New Roman"/>
          <w:color w:val="000000"/>
        </w:rPr>
        <w:t>对</w:t>
      </w:r>
      <w:r>
        <w:rPr>
          <w:rFonts w:ascii="楷体_GB2312" w:hAnsi="华文楷体" w:eastAsia="楷体_GB2312" w:cs="Times New Roman"/>
          <w:color w:val="000000"/>
        </w:rPr>
        <w:t>入园企业中已长期停产</w:t>
      </w:r>
      <w:r>
        <w:rPr>
          <w:rFonts w:hint="eastAsia" w:ascii="楷体_GB2312" w:hAnsi="华文楷体" w:eastAsia="楷体_GB2312" w:cs="Times New Roman"/>
          <w:color w:val="000000"/>
        </w:rPr>
        <w:t>、</w:t>
      </w:r>
      <w:r>
        <w:rPr>
          <w:rFonts w:ascii="楷体_GB2312" w:hAnsi="华文楷体" w:eastAsia="楷体_GB2312" w:cs="Times New Roman"/>
          <w:color w:val="000000"/>
        </w:rPr>
        <w:t>待建的单位进行清退</w:t>
      </w:r>
      <w:bookmarkEnd w:id="34"/>
    </w:p>
    <w:p>
      <w:pPr>
        <w:rPr>
          <w:rFonts w:ascii="仿宋_GB2312" w:hAnsi="Arial Narrow" w:eastAsia="仿宋_GB2312"/>
          <w:sz w:val="32"/>
          <w:szCs w:val="32"/>
        </w:rPr>
      </w:pPr>
      <w:r>
        <w:rPr>
          <w:rFonts w:hint="eastAsia"/>
        </w:rPr>
        <w:t xml:space="preserve">  </w:t>
      </w:r>
      <w:r>
        <w:rPr>
          <w:rFonts w:hint="eastAsia" w:ascii="仿宋_GB2312" w:hAnsi="Arial Narrow" w:eastAsia="仿宋_GB2312"/>
          <w:sz w:val="32"/>
          <w:szCs w:val="32"/>
        </w:rPr>
        <w:t xml:space="preserve">  根据提供的资料，68户入园企业中因企业内部纠纷、涉及官司等原因停产6户（勐海恒泰矿业冶炼有限公司2010年停产），17户待建（勐海金达摩茶业有限公司等5户单位2016年拍地），但单位未履行约谈、整改以及清退程序，不利于招商引资工作的开展以及园区的发展。</w:t>
      </w:r>
    </w:p>
    <w:p>
      <w:pPr>
        <w:pStyle w:val="3"/>
        <w:spacing w:before="0" w:after="0" w:line="600" w:lineRule="exact"/>
        <w:ind w:firstLine="643" w:firstLineChars="200"/>
        <w:rPr>
          <w:rFonts w:ascii="黑体" w:hAnsi="黑体" w:eastAsia="黑体"/>
          <w:color w:val="000000"/>
          <w:sz w:val="32"/>
          <w:szCs w:val="32"/>
        </w:rPr>
      </w:pPr>
      <w:bookmarkStart w:id="35" w:name="_Toc54790350"/>
      <w:r>
        <w:rPr>
          <w:rFonts w:hint="eastAsia" w:ascii="黑体" w:hAnsi="黑体" w:eastAsia="黑体"/>
          <w:color w:val="000000"/>
          <w:sz w:val="32"/>
          <w:szCs w:val="32"/>
        </w:rPr>
        <w:t>六</w:t>
      </w:r>
      <w:r>
        <w:rPr>
          <w:rFonts w:ascii="黑体" w:hAnsi="黑体" w:eastAsia="黑体"/>
          <w:color w:val="000000"/>
          <w:sz w:val="32"/>
          <w:szCs w:val="32"/>
        </w:rPr>
        <w:t>、</w:t>
      </w:r>
      <w:r>
        <w:rPr>
          <w:rFonts w:hint="eastAsia" w:ascii="黑体" w:hAnsi="黑体" w:eastAsia="黑体"/>
          <w:color w:val="000000"/>
          <w:sz w:val="32"/>
          <w:szCs w:val="32"/>
        </w:rPr>
        <w:t>改进措施</w:t>
      </w:r>
      <w:r>
        <w:rPr>
          <w:rFonts w:ascii="黑体" w:hAnsi="黑体" w:eastAsia="黑体"/>
          <w:color w:val="000000"/>
          <w:sz w:val="32"/>
          <w:szCs w:val="32"/>
        </w:rPr>
        <w:t>和建议</w:t>
      </w:r>
      <w:bookmarkEnd w:id="35"/>
    </w:p>
    <w:p>
      <w:pPr>
        <w:pStyle w:val="4"/>
        <w:spacing w:before="0" w:after="0" w:line="360" w:lineRule="auto"/>
        <w:ind w:firstLine="643" w:firstLineChars="200"/>
        <w:rPr>
          <w:rFonts w:ascii="楷体_GB2312" w:eastAsia="楷体_GB2312" w:cs="Times New Roman"/>
          <w:color w:val="000000"/>
        </w:rPr>
      </w:pPr>
      <w:bookmarkStart w:id="36" w:name="_Toc54790351"/>
      <w:r>
        <w:rPr>
          <w:rFonts w:ascii="楷体_GB2312" w:hAnsi="华文楷体" w:eastAsia="楷体_GB2312" w:cs="Times New Roman"/>
          <w:color w:val="000000"/>
        </w:rPr>
        <w:t>（一）</w:t>
      </w:r>
      <w:r>
        <w:rPr>
          <w:rFonts w:hint="eastAsia" w:ascii="楷体_GB2312" w:eastAsia="楷体_GB2312" w:cs="Times New Roman"/>
          <w:color w:val="000000"/>
        </w:rPr>
        <w:t>进一步建立</w:t>
      </w:r>
      <w:r>
        <w:rPr>
          <w:rFonts w:ascii="楷体_GB2312" w:eastAsia="楷体_GB2312" w:cs="Times New Roman"/>
          <w:color w:val="000000"/>
        </w:rPr>
        <w:t>健全内控制度</w:t>
      </w:r>
      <w:bookmarkEnd w:id="36"/>
    </w:p>
    <w:p>
      <w:pPr>
        <w:spacing w:line="360" w:lineRule="auto"/>
        <w:ind w:firstLine="640" w:firstLineChars="200"/>
        <w:rPr>
          <w:rFonts w:ascii="仿宋_GB2312" w:hAnsi="Mongolian Baiti" w:eastAsia="仿宋_GB2312" w:cs="Mongolian Baiti"/>
          <w:sz w:val="32"/>
          <w:szCs w:val="32"/>
        </w:rPr>
      </w:pPr>
      <w:r>
        <w:rPr>
          <w:rStyle w:val="43"/>
          <w:rFonts w:hint="default" w:hAnsi="Mongolian Baiti" w:cs="Mongolian Baiti"/>
          <w:szCs w:val="32"/>
        </w:rPr>
        <w:t>建议根据单位运行管理及业务开展实际情况，进一步有针对性的制定完善预算管理、专项资金管理、政府采购管理及绩效管理等方面的内控制度；对已制定制度补充完善制度内容，进一步</w:t>
      </w:r>
      <w:r>
        <w:rPr>
          <w:rFonts w:hint="eastAsia" w:ascii="仿宋_GB2312" w:hAnsi="Mongolian Baiti" w:eastAsia="仿宋_GB2312" w:cs="Mongolian Baiti"/>
          <w:sz w:val="32"/>
          <w:szCs w:val="32"/>
        </w:rPr>
        <w:t>推动了单位内部控制水平的整体提升，为</w:t>
      </w:r>
      <w:r>
        <w:rPr>
          <w:rFonts w:ascii="仿宋_GB2312" w:hAnsi="Mongolian Baiti" w:eastAsia="仿宋_GB2312" w:cs="Mongolian Baiti"/>
          <w:sz w:val="32"/>
          <w:szCs w:val="32"/>
        </w:rPr>
        <w:t>规范管理提供制度保障。</w:t>
      </w:r>
    </w:p>
    <w:p>
      <w:pPr>
        <w:pStyle w:val="4"/>
        <w:spacing w:before="0" w:after="0" w:line="360" w:lineRule="auto"/>
        <w:ind w:firstLine="643" w:firstLineChars="200"/>
        <w:rPr>
          <w:rFonts w:ascii="楷体_GB2312" w:eastAsia="楷体_GB2312" w:cs="Times New Roman"/>
          <w:color w:val="000000"/>
        </w:rPr>
      </w:pPr>
      <w:bookmarkStart w:id="37" w:name="_Toc54790352"/>
      <w:r>
        <w:rPr>
          <w:rFonts w:ascii="楷体_GB2312" w:hAnsi="华文楷体" w:eastAsia="楷体_GB2312" w:cs="Times New Roman"/>
          <w:color w:val="000000"/>
        </w:rPr>
        <w:t>（</w:t>
      </w:r>
      <w:r>
        <w:rPr>
          <w:rFonts w:hint="eastAsia" w:ascii="楷体_GB2312" w:hAnsi="华文楷体" w:eastAsia="楷体_GB2312" w:cs="Times New Roman"/>
          <w:color w:val="000000"/>
        </w:rPr>
        <w:t>二</w:t>
      </w:r>
      <w:r>
        <w:rPr>
          <w:rFonts w:ascii="楷体_GB2312" w:hAnsi="华文楷体" w:eastAsia="楷体_GB2312" w:cs="Times New Roman"/>
          <w:color w:val="000000"/>
        </w:rPr>
        <w:t>）</w:t>
      </w:r>
      <w:r>
        <w:rPr>
          <w:rFonts w:hint="eastAsia" w:ascii="楷体_GB2312" w:eastAsia="楷体_GB2312" w:cs="Times New Roman"/>
          <w:color w:val="000000"/>
        </w:rPr>
        <w:t>加强</w:t>
      </w:r>
      <w:r>
        <w:rPr>
          <w:rFonts w:ascii="楷体_GB2312" w:eastAsia="楷体_GB2312" w:cs="Times New Roman"/>
          <w:color w:val="000000"/>
        </w:rPr>
        <w:t>绩效</w:t>
      </w:r>
      <w:r>
        <w:rPr>
          <w:rFonts w:hint="eastAsia" w:ascii="楷体_GB2312" w:eastAsia="楷体_GB2312" w:cs="Times New Roman"/>
          <w:color w:val="000000"/>
        </w:rPr>
        <w:t>跟踪</w:t>
      </w:r>
      <w:r>
        <w:rPr>
          <w:rFonts w:ascii="楷体_GB2312" w:eastAsia="楷体_GB2312" w:cs="Times New Roman"/>
          <w:color w:val="000000"/>
        </w:rPr>
        <w:t>管理及</w:t>
      </w:r>
      <w:r>
        <w:rPr>
          <w:rFonts w:hint="eastAsia" w:ascii="楷体_GB2312" w:eastAsia="楷体_GB2312" w:cs="Times New Roman"/>
          <w:color w:val="000000"/>
        </w:rPr>
        <w:t>考核</w:t>
      </w:r>
      <w:r>
        <w:rPr>
          <w:rFonts w:ascii="楷体_GB2312" w:eastAsia="楷体_GB2312" w:cs="Times New Roman"/>
          <w:color w:val="000000"/>
        </w:rPr>
        <w:t>工作</w:t>
      </w:r>
      <w:bookmarkEnd w:id="37"/>
    </w:p>
    <w:p>
      <w:pPr>
        <w:spacing w:line="360" w:lineRule="auto"/>
        <w:ind w:firstLine="640" w:firstLineChars="200"/>
        <w:rPr>
          <w:rFonts w:ascii="仿宋_GB2312" w:hAnsi="Mongolian Baiti" w:eastAsia="仿宋_GB2312" w:cs="Mongolian Baiti"/>
          <w:sz w:val="32"/>
          <w:szCs w:val="32"/>
        </w:rPr>
      </w:pPr>
      <w:r>
        <w:rPr>
          <w:rStyle w:val="43"/>
          <w:rFonts w:hint="default" w:hAnsi="Mongolian Baiti" w:cs="Mongolian Baiti"/>
          <w:szCs w:val="32"/>
        </w:rPr>
        <w:t>建议将部门及项目年度绩效目标分解、细化，切实执行绩效跟踪管理和考核机制，有效推进单位绩效管理工作。</w:t>
      </w:r>
    </w:p>
    <w:p>
      <w:pPr>
        <w:pStyle w:val="4"/>
        <w:spacing w:before="0" w:after="0" w:line="360" w:lineRule="auto"/>
        <w:ind w:firstLine="643" w:firstLineChars="200"/>
        <w:rPr>
          <w:rFonts w:ascii="楷体_GB2312" w:eastAsia="楷体_GB2312" w:cs="Times New Roman"/>
          <w:color w:val="000000"/>
        </w:rPr>
      </w:pPr>
      <w:bookmarkStart w:id="38" w:name="_Toc54790353"/>
      <w:r>
        <w:rPr>
          <w:rFonts w:ascii="楷体_GB2312" w:hAnsi="华文楷体" w:eastAsia="楷体_GB2312" w:cs="Times New Roman"/>
          <w:color w:val="000000"/>
        </w:rPr>
        <w:t>（</w:t>
      </w:r>
      <w:r>
        <w:rPr>
          <w:rFonts w:hint="eastAsia" w:ascii="楷体_GB2312" w:hAnsi="华文楷体" w:eastAsia="楷体_GB2312" w:cs="Times New Roman"/>
          <w:color w:val="000000"/>
        </w:rPr>
        <w:t>三</w:t>
      </w:r>
      <w:r>
        <w:rPr>
          <w:rFonts w:ascii="楷体_GB2312" w:hAnsi="华文楷体" w:eastAsia="楷体_GB2312" w:cs="Times New Roman"/>
          <w:color w:val="000000"/>
        </w:rPr>
        <w:t>）</w:t>
      </w:r>
      <w:r>
        <w:rPr>
          <w:rFonts w:hint="eastAsia" w:ascii="楷体_GB2312" w:eastAsia="楷体_GB2312" w:cs="Times New Roman"/>
          <w:color w:val="000000"/>
        </w:rPr>
        <w:t>加强预算执行力度</w:t>
      </w:r>
      <w:r>
        <w:rPr>
          <w:rFonts w:ascii="楷体_GB2312" w:eastAsia="楷体_GB2312" w:cs="Times New Roman"/>
          <w:color w:val="000000"/>
        </w:rPr>
        <w:t>，</w:t>
      </w:r>
      <w:r>
        <w:rPr>
          <w:rFonts w:hint="eastAsia" w:ascii="楷体_GB2312" w:eastAsia="楷体_GB2312" w:cs="Times New Roman"/>
          <w:color w:val="000000"/>
        </w:rPr>
        <w:t>提高</w:t>
      </w:r>
      <w:r>
        <w:rPr>
          <w:rFonts w:ascii="楷体_GB2312" w:eastAsia="楷体_GB2312" w:cs="Times New Roman"/>
          <w:color w:val="000000"/>
        </w:rPr>
        <w:t>资金</w:t>
      </w:r>
      <w:r>
        <w:rPr>
          <w:rFonts w:hint="eastAsia" w:ascii="楷体_GB2312" w:eastAsia="楷体_GB2312" w:cs="Times New Roman"/>
          <w:color w:val="000000"/>
        </w:rPr>
        <w:t>使用</w:t>
      </w:r>
      <w:r>
        <w:rPr>
          <w:rFonts w:ascii="楷体_GB2312" w:eastAsia="楷体_GB2312" w:cs="Times New Roman"/>
          <w:color w:val="000000"/>
        </w:rPr>
        <w:t>效益</w:t>
      </w:r>
      <w:bookmarkEnd w:id="38"/>
    </w:p>
    <w:p>
      <w:pPr>
        <w:spacing w:line="360" w:lineRule="auto"/>
        <w:ind w:firstLine="640" w:firstLineChars="200"/>
        <w:rPr>
          <w:rStyle w:val="43"/>
          <w:rFonts w:hint="default" w:hAnsi="Mongolian Baiti" w:cs="Mongolian Baiti"/>
          <w:szCs w:val="32"/>
        </w:rPr>
      </w:pPr>
      <w:r>
        <w:rPr>
          <w:rStyle w:val="43"/>
          <w:rFonts w:hint="default" w:hAnsi="Mongolian Baiti" w:cs="Mongolian Baiti"/>
          <w:szCs w:val="32"/>
        </w:rPr>
        <w:t>建议加强预算申报及执行管理，科学、合理制定项目预算计划，及时、均衡执行项目预算，有效控制资金结转（结余）金额，提高资金使用效率。</w:t>
      </w:r>
    </w:p>
    <w:p>
      <w:pPr>
        <w:pStyle w:val="4"/>
        <w:spacing w:before="0" w:after="0" w:line="360" w:lineRule="auto"/>
        <w:ind w:firstLine="643" w:firstLineChars="200"/>
        <w:rPr>
          <w:rFonts w:ascii="楷体_GB2312" w:eastAsia="楷体_GB2312" w:cs="Times New Roman"/>
          <w:color w:val="000000"/>
        </w:rPr>
      </w:pPr>
      <w:bookmarkStart w:id="39" w:name="_Toc54790354"/>
      <w:r>
        <w:rPr>
          <w:rFonts w:ascii="楷体_GB2312" w:hAnsi="华文楷体" w:eastAsia="楷体_GB2312" w:cs="Times New Roman"/>
          <w:color w:val="000000"/>
        </w:rPr>
        <w:t>（</w:t>
      </w:r>
      <w:r>
        <w:rPr>
          <w:rFonts w:hint="eastAsia" w:ascii="楷体_GB2312" w:hAnsi="华文楷体" w:eastAsia="楷体_GB2312" w:cs="Times New Roman"/>
          <w:color w:val="000000"/>
        </w:rPr>
        <w:t>四</w:t>
      </w:r>
      <w:r>
        <w:rPr>
          <w:rFonts w:ascii="楷体_GB2312" w:hAnsi="华文楷体" w:eastAsia="楷体_GB2312" w:cs="Times New Roman"/>
          <w:color w:val="000000"/>
        </w:rPr>
        <w:t>）</w:t>
      </w:r>
      <w:r>
        <w:rPr>
          <w:rFonts w:hint="eastAsia" w:ascii="楷体_GB2312" w:eastAsia="楷体_GB2312" w:cs="Times New Roman"/>
          <w:color w:val="000000"/>
        </w:rPr>
        <w:t>加强政府采购</w:t>
      </w:r>
      <w:r>
        <w:rPr>
          <w:rFonts w:ascii="楷体_GB2312" w:eastAsia="楷体_GB2312" w:cs="Times New Roman"/>
          <w:color w:val="000000"/>
        </w:rPr>
        <w:t>管理及资产管理工作</w:t>
      </w:r>
      <w:bookmarkEnd w:id="39"/>
    </w:p>
    <w:p>
      <w:pPr>
        <w:spacing w:line="360" w:lineRule="auto"/>
        <w:ind w:firstLine="640" w:firstLineChars="200"/>
        <w:rPr>
          <w:rStyle w:val="43"/>
          <w:rFonts w:hint="default" w:hAnsi="Mongolian Baiti" w:cs="Mongolian Baiti"/>
          <w:color w:val="FF0000"/>
          <w:szCs w:val="32"/>
        </w:rPr>
      </w:pPr>
      <w:r>
        <w:rPr>
          <w:rStyle w:val="43"/>
          <w:rFonts w:hint="default" w:hAnsi="Mongolian Baiti" w:cs="Mongolian Baiti"/>
          <w:szCs w:val="32"/>
        </w:rPr>
        <w:t>建议严格执行政府采购预（决）算制度，完整进行项目预算系统的申报，做好政府采购预算执行情况的分析考核。同时加强实物资产管理及往来资金管理，加强</w:t>
      </w:r>
      <w:r>
        <w:rPr>
          <w:rStyle w:val="43"/>
          <w:rFonts w:hint="default" w:hAnsi="Mongolian Baiti" w:cs="Mongolian Baiti"/>
        </w:rPr>
        <w:t>资产清查、处置、监督等固定资产日常管理</w:t>
      </w:r>
      <w:r>
        <w:rPr>
          <w:rStyle w:val="43"/>
          <w:rFonts w:hint="default" w:hAnsi="Mongolian Baiti" w:cs="Mongolian Baiti"/>
          <w:szCs w:val="32"/>
        </w:rPr>
        <w:t>制度的执行力度，确保资产的安全完整。</w:t>
      </w:r>
    </w:p>
    <w:p>
      <w:pPr>
        <w:pStyle w:val="4"/>
        <w:spacing w:before="0" w:after="0" w:line="360" w:lineRule="auto"/>
        <w:ind w:firstLine="643" w:firstLineChars="200"/>
        <w:rPr>
          <w:rFonts w:ascii="楷体_GB2312" w:hAnsi="华文楷体" w:eastAsia="楷体_GB2312" w:cs="Times New Roman"/>
          <w:color w:val="000000"/>
        </w:rPr>
      </w:pPr>
      <w:bookmarkStart w:id="40" w:name="_Toc54790355"/>
      <w:r>
        <w:rPr>
          <w:rFonts w:ascii="楷体_GB2312" w:hAnsi="华文楷体" w:eastAsia="楷体_GB2312" w:cs="Times New Roman"/>
          <w:color w:val="000000"/>
        </w:rPr>
        <w:t>（五）加强资产管理工作</w:t>
      </w:r>
      <w:bookmarkEnd w:id="40"/>
    </w:p>
    <w:p>
      <w:pPr>
        <w:spacing w:line="360" w:lineRule="auto"/>
        <w:ind w:firstLine="640" w:firstLineChars="200"/>
        <w:rPr>
          <w:rStyle w:val="43"/>
          <w:rFonts w:hint="default" w:hAnsi="Mongolian Baiti" w:cs="Mongolian Baiti"/>
          <w:szCs w:val="32"/>
        </w:rPr>
      </w:pPr>
      <w:r>
        <w:rPr>
          <w:rStyle w:val="43"/>
          <w:rFonts w:hint="default" w:ascii="仿宋" w:eastAsia="仿宋"/>
          <w:szCs w:val="20"/>
        </w:rPr>
        <w:t>建议单位按照规定对单位固定资产进行定期或不定期的盘点，并根据盘点结果按照程序进行固定资产的核销处理，保证固定资产账实相符，提高固定资产的使用率。</w:t>
      </w:r>
      <w:r>
        <w:rPr>
          <w:rStyle w:val="43"/>
          <w:rFonts w:hint="default" w:hAnsi="Mongolian Baiti" w:cs="Mongolian Baiti"/>
          <w:szCs w:val="32"/>
        </w:rPr>
        <w:t>同时，对长期挂账的债权债务进行函证、备案，对确实不能收回或支付的债权债务资金按照程序进行清理和账务调整，真实、完整反映单位资产、负债情况。</w:t>
      </w:r>
    </w:p>
    <w:p>
      <w:pPr>
        <w:pStyle w:val="4"/>
        <w:spacing w:before="0" w:after="0" w:line="360" w:lineRule="auto"/>
        <w:ind w:firstLine="643" w:firstLineChars="200"/>
        <w:rPr>
          <w:rFonts w:ascii="楷体_GB2312" w:hAnsi="华文楷体" w:eastAsia="楷体_GB2312" w:cs="Times New Roman"/>
          <w:color w:val="000000"/>
        </w:rPr>
      </w:pPr>
      <w:bookmarkStart w:id="41" w:name="_Toc54790356"/>
      <w:r>
        <w:rPr>
          <w:rFonts w:ascii="楷体_GB2312" w:hAnsi="华文楷体" w:eastAsia="楷体_GB2312" w:cs="Times New Roman"/>
          <w:color w:val="000000"/>
        </w:rPr>
        <w:t>（六）加强入园企业的管理</w:t>
      </w:r>
      <w:bookmarkEnd w:id="41"/>
    </w:p>
    <w:p>
      <w:pPr>
        <w:ind w:firstLine="640" w:firstLineChars="200"/>
      </w:pPr>
      <w:r>
        <w:rPr>
          <w:rStyle w:val="43"/>
          <w:rFonts w:hint="default" w:hAnsi="Mongolian Baiti" w:cs="Mongolian Baiti"/>
          <w:szCs w:val="32"/>
        </w:rPr>
        <w:t>建议单位按照勐海县人民政府《关于印发勐海工业园区入园企业管理办法的通知》（海政发</w:t>
      </w:r>
      <w:r>
        <w:rPr>
          <w:rFonts w:hint="eastAsia" w:ascii="仿宋_GB2312" w:hAnsi="仿宋" w:eastAsia="仿宋_GB2312"/>
          <w:color w:val="000000"/>
          <w:sz w:val="32"/>
          <w:szCs w:val="32"/>
        </w:rPr>
        <w:t>〔2019〕29号</w:t>
      </w:r>
      <w:r>
        <w:rPr>
          <w:rStyle w:val="43"/>
          <w:rFonts w:hint="default" w:hAnsi="Mongolian Baiti" w:cs="Mongolian Baiti"/>
          <w:szCs w:val="32"/>
        </w:rPr>
        <w:t>）文件的规定对入园企业进行管理，对长期停产、待建的企业进行约谈、整改和清退，避免出现国家资源未得到充分利用和发挥效益的情况。</w:t>
      </w:r>
    </w:p>
    <w:p>
      <w:pPr>
        <w:spacing w:line="360" w:lineRule="auto"/>
        <w:ind w:firstLine="640" w:firstLineChars="200"/>
        <w:rPr>
          <w:rStyle w:val="43"/>
          <w:rFonts w:hint="default" w:hAnsi="Mongolian Baiti" w:cs="Mongolian Baiti"/>
          <w:szCs w:val="32"/>
        </w:rPr>
      </w:pPr>
    </w:p>
    <w:p>
      <w:pPr>
        <w:spacing w:line="360" w:lineRule="auto"/>
        <w:ind w:firstLine="643" w:firstLineChars="200"/>
        <w:rPr>
          <w:rStyle w:val="43"/>
          <w:rFonts w:hint="default" w:hAnsi="Mongolian Baiti" w:cs="Mongolian Baiti"/>
          <w:b/>
          <w:szCs w:val="32"/>
        </w:rPr>
      </w:pPr>
      <w:r>
        <w:rPr>
          <w:rStyle w:val="43"/>
          <w:rFonts w:hint="default" w:hAnsi="Mongolian Baiti" w:cs="Mongolian Baiti"/>
          <w:b/>
          <w:szCs w:val="32"/>
        </w:rPr>
        <w:t>附件：部门整体支出绩效评价指标体系及评分表</w:t>
      </w:r>
    </w:p>
    <w:p>
      <w:pPr>
        <w:spacing w:line="360" w:lineRule="auto"/>
        <w:ind w:firstLine="640" w:firstLineChars="200"/>
        <w:rPr>
          <w:rStyle w:val="43"/>
          <w:rFonts w:hint="default" w:hAnsi="Mongolian Baiti" w:cs="Mongolian Baiti"/>
          <w:szCs w:val="32"/>
        </w:rPr>
      </w:pPr>
    </w:p>
    <w:p>
      <w:pPr>
        <w:spacing w:line="360" w:lineRule="auto"/>
        <w:ind w:firstLine="640" w:firstLineChars="200"/>
        <w:rPr>
          <w:rStyle w:val="43"/>
          <w:rFonts w:hint="default" w:hAnsi="Mongolian Baiti" w:cs="Mongolian Baiti"/>
          <w:szCs w:val="32"/>
        </w:rPr>
      </w:pPr>
    </w:p>
    <w:tbl>
      <w:tblPr>
        <w:tblStyle w:val="18"/>
        <w:tblW w:w="7815" w:type="dxa"/>
        <w:jc w:val="center"/>
        <w:tblLayout w:type="fixed"/>
        <w:tblCellMar>
          <w:top w:w="0" w:type="dxa"/>
          <w:left w:w="108" w:type="dxa"/>
          <w:bottom w:w="0" w:type="dxa"/>
          <w:right w:w="108" w:type="dxa"/>
        </w:tblCellMar>
      </w:tblPr>
      <w:tblGrid>
        <w:gridCol w:w="3863"/>
        <w:gridCol w:w="3952"/>
      </w:tblGrid>
      <w:tr>
        <w:tblPrEx>
          <w:tblCellMar>
            <w:top w:w="0" w:type="dxa"/>
            <w:left w:w="108" w:type="dxa"/>
            <w:bottom w:w="0" w:type="dxa"/>
            <w:right w:w="108" w:type="dxa"/>
          </w:tblCellMar>
        </w:tblPrEx>
        <w:trPr>
          <w:jc w:val="center"/>
        </w:trPr>
        <w:tc>
          <w:tcPr>
            <w:tcW w:w="3863" w:type="dxa"/>
            <w:shd w:val="clear" w:color="auto" w:fill="auto"/>
          </w:tcPr>
          <w:p>
            <w:pPr>
              <w:spacing w:line="360" w:lineRule="auto"/>
              <w:rPr>
                <w:rFonts w:ascii="仿宋" w:hAnsi="仿宋" w:eastAsia="仿宋"/>
                <w:b/>
                <w:sz w:val="32"/>
                <w:szCs w:val="32"/>
              </w:rPr>
            </w:pPr>
          </w:p>
          <w:p>
            <w:pPr>
              <w:spacing w:line="360" w:lineRule="auto"/>
              <w:jc w:val="center"/>
              <w:rPr>
                <w:rFonts w:ascii="仿宋" w:hAnsi="仿宋" w:eastAsia="仿宋"/>
                <w:b/>
                <w:sz w:val="32"/>
                <w:szCs w:val="32"/>
              </w:rPr>
            </w:pPr>
            <w:r>
              <w:rPr>
                <w:rFonts w:hint="eastAsia" w:ascii="仿宋" w:hAnsi="仿宋" w:eastAsia="仿宋"/>
                <w:b/>
                <w:sz w:val="32"/>
                <w:szCs w:val="32"/>
              </w:rPr>
              <w:t>云南信立会计师事务所有限公司</w:t>
            </w:r>
          </w:p>
        </w:tc>
        <w:tc>
          <w:tcPr>
            <w:tcW w:w="3952" w:type="dxa"/>
          </w:tcPr>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b/>
                <w:sz w:val="32"/>
                <w:szCs w:val="32"/>
              </w:rPr>
              <w:t>中国注册会计师：</w:t>
            </w:r>
          </w:p>
          <w:p>
            <w:pPr>
              <w:spacing w:line="360" w:lineRule="auto"/>
              <w:rPr>
                <w:rFonts w:ascii="仿宋" w:hAnsi="仿宋" w:eastAsia="仿宋"/>
                <w:b/>
                <w:sz w:val="32"/>
                <w:szCs w:val="32"/>
              </w:rPr>
            </w:pPr>
          </w:p>
        </w:tc>
      </w:tr>
      <w:tr>
        <w:tblPrEx>
          <w:tblCellMar>
            <w:top w:w="0" w:type="dxa"/>
            <w:left w:w="108" w:type="dxa"/>
            <w:bottom w:w="0" w:type="dxa"/>
            <w:right w:w="108" w:type="dxa"/>
          </w:tblCellMar>
        </w:tblPrEx>
        <w:trPr>
          <w:jc w:val="center"/>
        </w:trPr>
        <w:tc>
          <w:tcPr>
            <w:tcW w:w="3863" w:type="dxa"/>
          </w:tcPr>
          <w:p>
            <w:pPr>
              <w:spacing w:line="360" w:lineRule="auto"/>
              <w:jc w:val="center"/>
              <w:rPr>
                <w:rFonts w:ascii="仿宋" w:hAnsi="仿宋" w:eastAsia="仿宋"/>
                <w:b/>
                <w:sz w:val="32"/>
                <w:szCs w:val="32"/>
              </w:rPr>
            </w:pPr>
          </w:p>
        </w:tc>
        <w:tc>
          <w:tcPr>
            <w:tcW w:w="3952" w:type="dxa"/>
          </w:tcPr>
          <w:p>
            <w:pPr>
              <w:spacing w:line="360" w:lineRule="auto"/>
              <w:jc w:val="center"/>
              <w:rPr>
                <w:rFonts w:ascii="仿宋" w:hAnsi="仿宋" w:eastAsia="仿宋"/>
                <w:b/>
                <w:sz w:val="32"/>
                <w:szCs w:val="32"/>
              </w:rPr>
            </w:pPr>
            <w:r>
              <w:rPr>
                <w:rFonts w:hint="eastAsia" w:ascii="仿宋" w:hAnsi="仿宋" w:eastAsia="仿宋"/>
                <w:b/>
                <w:sz w:val="32"/>
                <w:szCs w:val="32"/>
              </w:rPr>
              <w:t xml:space="preserve"> 中国注册会计师：</w:t>
            </w:r>
          </w:p>
        </w:tc>
      </w:tr>
      <w:tr>
        <w:tblPrEx>
          <w:tblCellMar>
            <w:top w:w="0" w:type="dxa"/>
            <w:left w:w="108" w:type="dxa"/>
            <w:bottom w:w="0" w:type="dxa"/>
            <w:right w:w="108" w:type="dxa"/>
          </w:tblCellMar>
        </w:tblPrEx>
        <w:trPr>
          <w:jc w:val="center"/>
        </w:trPr>
        <w:tc>
          <w:tcPr>
            <w:tcW w:w="3863" w:type="dxa"/>
          </w:tcPr>
          <w:p>
            <w:pPr>
              <w:spacing w:line="360" w:lineRule="auto"/>
              <w:rPr>
                <w:rFonts w:ascii="仿宋" w:hAnsi="仿宋" w:eastAsia="仿宋"/>
                <w:b/>
                <w:sz w:val="32"/>
                <w:szCs w:val="32"/>
              </w:rPr>
            </w:pPr>
          </w:p>
        </w:tc>
        <w:tc>
          <w:tcPr>
            <w:tcW w:w="3952" w:type="dxa"/>
          </w:tcPr>
          <w:p>
            <w:pPr>
              <w:spacing w:line="360" w:lineRule="auto"/>
              <w:rPr>
                <w:rFonts w:ascii="仿宋" w:hAnsi="仿宋" w:eastAsia="仿宋"/>
                <w:b/>
                <w:sz w:val="32"/>
                <w:szCs w:val="32"/>
              </w:rPr>
            </w:pPr>
          </w:p>
        </w:tc>
      </w:tr>
      <w:tr>
        <w:tblPrEx>
          <w:tblCellMar>
            <w:top w:w="0" w:type="dxa"/>
            <w:left w:w="108" w:type="dxa"/>
            <w:bottom w:w="0" w:type="dxa"/>
            <w:right w:w="108" w:type="dxa"/>
          </w:tblCellMar>
        </w:tblPrEx>
        <w:trPr>
          <w:jc w:val="center"/>
        </w:trPr>
        <w:tc>
          <w:tcPr>
            <w:tcW w:w="3863" w:type="dxa"/>
          </w:tcPr>
          <w:p>
            <w:pPr>
              <w:spacing w:line="360" w:lineRule="auto"/>
              <w:ind w:firstLine="964" w:firstLineChars="300"/>
              <w:rPr>
                <w:rFonts w:ascii="仿宋" w:hAnsi="仿宋" w:eastAsia="仿宋"/>
                <w:b/>
                <w:sz w:val="32"/>
                <w:szCs w:val="32"/>
              </w:rPr>
            </w:pPr>
            <w:r>
              <w:rPr>
                <w:rFonts w:hint="eastAsia" w:ascii="仿宋" w:hAnsi="仿宋" w:eastAsia="仿宋"/>
                <w:b/>
                <w:sz w:val="32"/>
                <w:szCs w:val="32"/>
              </w:rPr>
              <w:t>中国·昆明</w:t>
            </w:r>
          </w:p>
        </w:tc>
        <w:tc>
          <w:tcPr>
            <w:tcW w:w="3952" w:type="dxa"/>
          </w:tcPr>
          <w:p>
            <w:pPr>
              <w:spacing w:line="400" w:lineRule="exact"/>
              <w:rPr>
                <w:rFonts w:ascii="仿宋" w:hAnsi="仿宋" w:eastAsia="仿宋"/>
                <w:b/>
                <w:sz w:val="32"/>
                <w:szCs w:val="32"/>
              </w:rPr>
            </w:pPr>
            <w:r>
              <w:rPr>
                <w:rFonts w:hint="eastAsia" w:ascii="仿宋" w:hAnsi="仿宋" w:eastAsia="仿宋" w:cs="宋体"/>
                <w:b/>
                <w:spacing w:val="6"/>
                <w:sz w:val="32"/>
                <w:szCs w:val="32"/>
              </w:rPr>
              <w:t>二</w:t>
            </w:r>
            <w:r>
              <w:rPr>
                <w:rFonts w:hint="eastAsia" w:ascii="仿宋" w:hAnsi="仿宋" w:eastAsia="仿宋" w:cs="微软雅黑"/>
                <w:b/>
                <w:spacing w:val="6"/>
                <w:sz w:val="32"/>
                <w:szCs w:val="32"/>
              </w:rPr>
              <w:t>〇</w:t>
            </w:r>
            <w:r>
              <w:rPr>
                <w:rFonts w:hint="eastAsia" w:ascii="仿宋" w:hAnsi="仿宋" w:eastAsia="仿宋" w:cs="宋体"/>
                <w:b/>
                <w:spacing w:val="6"/>
                <w:sz w:val="32"/>
                <w:szCs w:val="32"/>
              </w:rPr>
              <w:t>二</w:t>
            </w:r>
            <w:r>
              <w:rPr>
                <w:rFonts w:hint="eastAsia" w:ascii="仿宋" w:hAnsi="仿宋" w:eastAsia="仿宋" w:cs="微软雅黑"/>
                <w:b/>
                <w:spacing w:val="6"/>
                <w:sz w:val="32"/>
                <w:szCs w:val="32"/>
              </w:rPr>
              <w:t>〇</w:t>
            </w:r>
            <w:r>
              <w:rPr>
                <w:rFonts w:hint="eastAsia" w:ascii="仿宋" w:hAnsi="仿宋" w:eastAsia="仿宋" w:cs="宋体"/>
                <w:b/>
                <w:spacing w:val="6"/>
                <w:sz w:val="32"/>
                <w:szCs w:val="32"/>
              </w:rPr>
              <w:t>年十月二十日</w:t>
            </w:r>
          </w:p>
        </w:tc>
      </w:tr>
    </w:tbl>
    <w:p>
      <w:pPr>
        <w:spacing w:line="600" w:lineRule="exact"/>
        <w:rPr>
          <w:rFonts w:ascii="Mongolian Baiti" w:hAnsi="Mongolian Baiti" w:eastAsia="方正仿宋_GBK" w:cs="Mongolian Baiti"/>
          <w:szCs w:val="32"/>
        </w:rPr>
      </w:pPr>
    </w:p>
    <w:p>
      <w:pPr>
        <w:spacing w:line="360" w:lineRule="auto"/>
        <w:ind w:firstLine="640" w:firstLineChars="200"/>
        <w:rPr>
          <w:rStyle w:val="43"/>
          <w:rFonts w:hint="default" w:hAnsi="仿宋"/>
          <w:szCs w:val="32"/>
        </w:rPr>
      </w:pPr>
    </w:p>
    <w:bookmarkEnd w:id="5"/>
    <w:bookmarkEnd w:id="10"/>
    <w:p>
      <w:pPr>
        <w:spacing w:line="360" w:lineRule="auto"/>
        <w:ind w:firstLine="640" w:firstLineChars="200"/>
        <w:jc w:val="right"/>
        <w:rPr>
          <w:rStyle w:val="43"/>
          <w:rFonts w:hint="default" w:hAnsi="Mongolian Baiti" w:cs="Mongolian Baiti"/>
          <w:szCs w:val="32"/>
        </w:rPr>
      </w:pPr>
    </w:p>
    <w:sectPr>
      <w:pgSz w:w="11906" w:h="16838"/>
      <w:pgMar w:top="1440" w:right="1797" w:bottom="1440" w:left="1797" w:header="851" w:footer="11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28</w:t>
    </w:r>
    <w:r>
      <w:rPr>
        <w:rFonts w:ascii="仿宋" w:hAnsi="仿宋" w:eastAsia="仿宋"/>
        <w:sz w:val="28"/>
        <w:szCs w:val="28"/>
      </w:rPr>
      <w:fldChar w:fldCharType="end"/>
    </w:r>
    <w:r>
      <w:rPr>
        <w:rFonts w:hint="eastAsia" w:ascii="仿宋" w:hAnsi="仿宋" w:eastAsia="仿宋"/>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27</w:t>
    </w:r>
    <w:r>
      <w:rPr>
        <w:rFonts w:ascii="仿宋" w:hAnsi="仿宋" w:eastAsia="仿宋"/>
        <w:sz w:val="28"/>
        <w:szCs w:val="28"/>
      </w:rPr>
      <w:fldChar w:fldCharType="end"/>
    </w:r>
    <w:r>
      <w:rPr>
        <w:rFonts w:hint="eastAsia" w:ascii="仿宋" w:hAnsi="仿宋" w:eastAsia="仿宋"/>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NGFjNTZjZDU5M2Q0ZWQ0NjA1YmFiM2IxYTUzOWYifQ=="/>
  </w:docVars>
  <w:rsids>
    <w:rsidRoot w:val="00072A5E"/>
    <w:rsid w:val="00001854"/>
    <w:rsid w:val="000065AF"/>
    <w:rsid w:val="000104CF"/>
    <w:rsid w:val="00010561"/>
    <w:rsid w:val="000111D9"/>
    <w:rsid w:val="0001351E"/>
    <w:rsid w:val="000140C3"/>
    <w:rsid w:val="00020828"/>
    <w:rsid w:val="000265ED"/>
    <w:rsid w:val="00032D90"/>
    <w:rsid w:val="00034C8F"/>
    <w:rsid w:val="000378DE"/>
    <w:rsid w:val="00041B14"/>
    <w:rsid w:val="00047FF0"/>
    <w:rsid w:val="00050E63"/>
    <w:rsid w:val="000520AE"/>
    <w:rsid w:val="0005550C"/>
    <w:rsid w:val="00057675"/>
    <w:rsid w:val="00061AE1"/>
    <w:rsid w:val="00072A5E"/>
    <w:rsid w:val="000840FC"/>
    <w:rsid w:val="00085386"/>
    <w:rsid w:val="000866A2"/>
    <w:rsid w:val="00096F35"/>
    <w:rsid w:val="000A187F"/>
    <w:rsid w:val="000A1E55"/>
    <w:rsid w:val="000A6E71"/>
    <w:rsid w:val="000A7F02"/>
    <w:rsid w:val="000B04B5"/>
    <w:rsid w:val="000B56BF"/>
    <w:rsid w:val="000C2E9F"/>
    <w:rsid w:val="000C3D23"/>
    <w:rsid w:val="000C5945"/>
    <w:rsid w:val="000D1E51"/>
    <w:rsid w:val="000D2EE3"/>
    <w:rsid w:val="000D71A2"/>
    <w:rsid w:val="000E0E47"/>
    <w:rsid w:val="000E39A3"/>
    <w:rsid w:val="000E3ED6"/>
    <w:rsid w:val="000E48B2"/>
    <w:rsid w:val="000F2A07"/>
    <w:rsid w:val="000F576D"/>
    <w:rsid w:val="000F5DBF"/>
    <w:rsid w:val="0010309F"/>
    <w:rsid w:val="00111DD4"/>
    <w:rsid w:val="00113438"/>
    <w:rsid w:val="001140F6"/>
    <w:rsid w:val="0011507A"/>
    <w:rsid w:val="00121519"/>
    <w:rsid w:val="00133129"/>
    <w:rsid w:val="00137646"/>
    <w:rsid w:val="00143A35"/>
    <w:rsid w:val="00146751"/>
    <w:rsid w:val="0015128B"/>
    <w:rsid w:val="0015358A"/>
    <w:rsid w:val="00157CF0"/>
    <w:rsid w:val="00161FFA"/>
    <w:rsid w:val="00164168"/>
    <w:rsid w:val="00164814"/>
    <w:rsid w:val="00175338"/>
    <w:rsid w:val="001807F0"/>
    <w:rsid w:val="0018422D"/>
    <w:rsid w:val="00184882"/>
    <w:rsid w:val="00186454"/>
    <w:rsid w:val="00192D4C"/>
    <w:rsid w:val="001A1502"/>
    <w:rsid w:val="001A1632"/>
    <w:rsid w:val="001A25D0"/>
    <w:rsid w:val="001A2F35"/>
    <w:rsid w:val="001A52C6"/>
    <w:rsid w:val="001A6A57"/>
    <w:rsid w:val="001B0F8E"/>
    <w:rsid w:val="001C001F"/>
    <w:rsid w:val="001D397C"/>
    <w:rsid w:val="001D62D9"/>
    <w:rsid w:val="001E089E"/>
    <w:rsid w:val="001F443B"/>
    <w:rsid w:val="001F52C8"/>
    <w:rsid w:val="00200225"/>
    <w:rsid w:val="00206DB8"/>
    <w:rsid w:val="0020754D"/>
    <w:rsid w:val="00210227"/>
    <w:rsid w:val="00214EB2"/>
    <w:rsid w:val="00215616"/>
    <w:rsid w:val="00221AC9"/>
    <w:rsid w:val="0022394B"/>
    <w:rsid w:val="002419D5"/>
    <w:rsid w:val="002427C3"/>
    <w:rsid w:val="002450F7"/>
    <w:rsid w:val="00245AE8"/>
    <w:rsid w:val="002517FA"/>
    <w:rsid w:val="00251811"/>
    <w:rsid w:val="00255A92"/>
    <w:rsid w:val="00260441"/>
    <w:rsid w:val="00260954"/>
    <w:rsid w:val="00266E79"/>
    <w:rsid w:val="00274394"/>
    <w:rsid w:val="00280347"/>
    <w:rsid w:val="002835D7"/>
    <w:rsid w:val="00284E46"/>
    <w:rsid w:val="0029250C"/>
    <w:rsid w:val="00296F83"/>
    <w:rsid w:val="00297EEE"/>
    <w:rsid w:val="002A0299"/>
    <w:rsid w:val="002A03B1"/>
    <w:rsid w:val="002A30B7"/>
    <w:rsid w:val="002A4166"/>
    <w:rsid w:val="002B10C5"/>
    <w:rsid w:val="002C15F6"/>
    <w:rsid w:val="002D15F2"/>
    <w:rsid w:val="002E02BF"/>
    <w:rsid w:val="002E0A09"/>
    <w:rsid w:val="002E3D78"/>
    <w:rsid w:val="002E44F8"/>
    <w:rsid w:val="002E5F64"/>
    <w:rsid w:val="002E669C"/>
    <w:rsid w:val="002F0867"/>
    <w:rsid w:val="002F0C58"/>
    <w:rsid w:val="002F6BB7"/>
    <w:rsid w:val="00304854"/>
    <w:rsid w:val="00306EA0"/>
    <w:rsid w:val="00312F52"/>
    <w:rsid w:val="003238C4"/>
    <w:rsid w:val="0032606E"/>
    <w:rsid w:val="00327E2D"/>
    <w:rsid w:val="003344B8"/>
    <w:rsid w:val="00337785"/>
    <w:rsid w:val="00337986"/>
    <w:rsid w:val="00337D0E"/>
    <w:rsid w:val="00341CA2"/>
    <w:rsid w:val="0034268B"/>
    <w:rsid w:val="00345FCA"/>
    <w:rsid w:val="003504B6"/>
    <w:rsid w:val="00352548"/>
    <w:rsid w:val="00352DAA"/>
    <w:rsid w:val="00353C2A"/>
    <w:rsid w:val="003617E0"/>
    <w:rsid w:val="00362FBC"/>
    <w:rsid w:val="00377182"/>
    <w:rsid w:val="00377AD6"/>
    <w:rsid w:val="0038320D"/>
    <w:rsid w:val="0038718D"/>
    <w:rsid w:val="00394E4E"/>
    <w:rsid w:val="00394F61"/>
    <w:rsid w:val="003A1D5F"/>
    <w:rsid w:val="003B375B"/>
    <w:rsid w:val="003B3C1F"/>
    <w:rsid w:val="003B59DA"/>
    <w:rsid w:val="003C35D0"/>
    <w:rsid w:val="003D31E4"/>
    <w:rsid w:val="003E52E3"/>
    <w:rsid w:val="003E6013"/>
    <w:rsid w:val="003E755F"/>
    <w:rsid w:val="003F5AB0"/>
    <w:rsid w:val="004019DC"/>
    <w:rsid w:val="00405632"/>
    <w:rsid w:val="00405B08"/>
    <w:rsid w:val="00407F78"/>
    <w:rsid w:val="004175DC"/>
    <w:rsid w:val="0042047B"/>
    <w:rsid w:val="0042082D"/>
    <w:rsid w:val="0042277B"/>
    <w:rsid w:val="00424B9F"/>
    <w:rsid w:val="004278CF"/>
    <w:rsid w:val="004322E7"/>
    <w:rsid w:val="0043316F"/>
    <w:rsid w:val="00434C91"/>
    <w:rsid w:val="004373E3"/>
    <w:rsid w:val="00441833"/>
    <w:rsid w:val="004506ED"/>
    <w:rsid w:val="004518F9"/>
    <w:rsid w:val="00453E10"/>
    <w:rsid w:val="00454A60"/>
    <w:rsid w:val="00467A38"/>
    <w:rsid w:val="00473360"/>
    <w:rsid w:val="00473663"/>
    <w:rsid w:val="00480381"/>
    <w:rsid w:val="0048422D"/>
    <w:rsid w:val="00487C56"/>
    <w:rsid w:val="004A3143"/>
    <w:rsid w:val="004A64F7"/>
    <w:rsid w:val="004B1537"/>
    <w:rsid w:val="004B19A8"/>
    <w:rsid w:val="004B3A88"/>
    <w:rsid w:val="004B7487"/>
    <w:rsid w:val="004C3231"/>
    <w:rsid w:val="004D24FB"/>
    <w:rsid w:val="004D7A9D"/>
    <w:rsid w:val="004E3955"/>
    <w:rsid w:val="004E613D"/>
    <w:rsid w:val="004E7EE4"/>
    <w:rsid w:val="004F441D"/>
    <w:rsid w:val="004F5ED6"/>
    <w:rsid w:val="005038FB"/>
    <w:rsid w:val="00513289"/>
    <w:rsid w:val="00513554"/>
    <w:rsid w:val="005135CA"/>
    <w:rsid w:val="00514192"/>
    <w:rsid w:val="005162BE"/>
    <w:rsid w:val="0051643F"/>
    <w:rsid w:val="00517B41"/>
    <w:rsid w:val="00522183"/>
    <w:rsid w:val="005221E0"/>
    <w:rsid w:val="00522217"/>
    <w:rsid w:val="005236AC"/>
    <w:rsid w:val="0053347D"/>
    <w:rsid w:val="005352E6"/>
    <w:rsid w:val="00540787"/>
    <w:rsid w:val="005412A8"/>
    <w:rsid w:val="00550DB7"/>
    <w:rsid w:val="00560D42"/>
    <w:rsid w:val="00563074"/>
    <w:rsid w:val="00564FB4"/>
    <w:rsid w:val="005656CE"/>
    <w:rsid w:val="00570D1E"/>
    <w:rsid w:val="00572F14"/>
    <w:rsid w:val="005734B8"/>
    <w:rsid w:val="005752F7"/>
    <w:rsid w:val="005812C1"/>
    <w:rsid w:val="00581593"/>
    <w:rsid w:val="00582BEC"/>
    <w:rsid w:val="00583EBF"/>
    <w:rsid w:val="00591C13"/>
    <w:rsid w:val="0059621F"/>
    <w:rsid w:val="00596DEB"/>
    <w:rsid w:val="005A24C7"/>
    <w:rsid w:val="005A43D4"/>
    <w:rsid w:val="005B02D1"/>
    <w:rsid w:val="005B12A3"/>
    <w:rsid w:val="005B424B"/>
    <w:rsid w:val="005B4F8D"/>
    <w:rsid w:val="005C7269"/>
    <w:rsid w:val="005D26A0"/>
    <w:rsid w:val="005E4610"/>
    <w:rsid w:val="005E5374"/>
    <w:rsid w:val="005E587B"/>
    <w:rsid w:val="005F0792"/>
    <w:rsid w:val="005F22D4"/>
    <w:rsid w:val="005F296B"/>
    <w:rsid w:val="005F475C"/>
    <w:rsid w:val="00600DC2"/>
    <w:rsid w:val="00602E46"/>
    <w:rsid w:val="00603DEB"/>
    <w:rsid w:val="006074DF"/>
    <w:rsid w:val="006114DB"/>
    <w:rsid w:val="00613F4F"/>
    <w:rsid w:val="00620CC0"/>
    <w:rsid w:val="00623134"/>
    <w:rsid w:val="00623757"/>
    <w:rsid w:val="00632813"/>
    <w:rsid w:val="006351A2"/>
    <w:rsid w:val="0064112C"/>
    <w:rsid w:val="00642064"/>
    <w:rsid w:val="0064652D"/>
    <w:rsid w:val="00655E4F"/>
    <w:rsid w:val="00656527"/>
    <w:rsid w:val="00665F3E"/>
    <w:rsid w:val="00667078"/>
    <w:rsid w:val="00667A33"/>
    <w:rsid w:val="00670841"/>
    <w:rsid w:val="006722EC"/>
    <w:rsid w:val="0067307E"/>
    <w:rsid w:val="006745F8"/>
    <w:rsid w:val="0068338E"/>
    <w:rsid w:val="00685403"/>
    <w:rsid w:val="00687A4F"/>
    <w:rsid w:val="0069131E"/>
    <w:rsid w:val="00691E10"/>
    <w:rsid w:val="006A1A1E"/>
    <w:rsid w:val="006A5F76"/>
    <w:rsid w:val="006A63ED"/>
    <w:rsid w:val="006B27C2"/>
    <w:rsid w:val="006B2C42"/>
    <w:rsid w:val="006B4650"/>
    <w:rsid w:val="006B6138"/>
    <w:rsid w:val="006B7AA0"/>
    <w:rsid w:val="006C29BA"/>
    <w:rsid w:val="006C3D16"/>
    <w:rsid w:val="006C62BD"/>
    <w:rsid w:val="006D3CFC"/>
    <w:rsid w:val="006D5695"/>
    <w:rsid w:val="006E7F66"/>
    <w:rsid w:val="006F6A15"/>
    <w:rsid w:val="006F7444"/>
    <w:rsid w:val="00700E62"/>
    <w:rsid w:val="00703136"/>
    <w:rsid w:val="00706732"/>
    <w:rsid w:val="00712A73"/>
    <w:rsid w:val="00714179"/>
    <w:rsid w:val="00725EE9"/>
    <w:rsid w:val="00727CF0"/>
    <w:rsid w:val="007301D6"/>
    <w:rsid w:val="00731428"/>
    <w:rsid w:val="0073546C"/>
    <w:rsid w:val="00736DBC"/>
    <w:rsid w:val="00737E0B"/>
    <w:rsid w:val="00737E78"/>
    <w:rsid w:val="00737F2F"/>
    <w:rsid w:val="00740D20"/>
    <w:rsid w:val="00765106"/>
    <w:rsid w:val="007719EB"/>
    <w:rsid w:val="007724DD"/>
    <w:rsid w:val="007748CB"/>
    <w:rsid w:val="00781E2F"/>
    <w:rsid w:val="007820D5"/>
    <w:rsid w:val="007824A1"/>
    <w:rsid w:val="007953BA"/>
    <w:rsid w:val="007A198B"/>
    <w:rsid w:val="007A4E94"/>
    <w:rsid w:val="007B052F"/>
    <w:rsid w:val="007B18A1"/>
    <w:rsid w:val="007B482E"/>
    <w:rsid w:val="007B486A"/>
    <w:rsid w:val="007C37F4"/>
    <w:rsid w:val="007C691A"/>
    <w:rsid w:val="007C6D5D"/>
    <w:rsid w:val="007D2BD9"/>
    <w:rsid w:val="007D3DA4"/>
    <w:rsid w:val="007D3F22"/>
    <w:rsid w:val="007D60E6"/>
    <w:rsid w:val="007D7FE5"/>
    <w:rsid w:val="007E451A"/>
    <w:rsid w:val="007E53DE"/>
    <w:rsid w:val="007F4F72"/>
    <w:rsid w:val="00802976"/>
    <w:rsid w:val="00803CC1"/>
    <w:rsid w:val="00807E8B"/>
    <w:rsid w:val="00812A58"/>
    <w:rsid w:val="00815A5E"/>
    <w:rsid w:val="008212F6"/>
    <w:rsid w:val="00843022"/>
    <w:rsid w:val="008513EC"/>
    <w:rsid w:val="00851767"/>
    <w:rsid w:val="00862947"/>
    <w:rsid w:val="00865DF8"/>
    <w:rsid w:val="008732A2"/>
    <w:rsid w:val="00874E10"/>
    <w:rsid w:val="00875D08"/>
    <w:rsid w:val="00876098"/>
    <w:rsid w:val="00881C2B"/>
    <w:rsid w:val="008838E8"/>
    <w:rsid w:val="008A2381"/>
    <w:rsid w:val="008A5761"/>
    <w:rsid w:val="008B190E"/>
    <w:rsid w:val="008B446B"/>
    <w:rsid w:val="008B5EB8"/>
    <w:rsid w:val="008C1136"/>
    <w:rsid w:val="008C18C2"/>
    <w:rsid w:val="008C1F3B"/>
    <w:rsid w:val="008C2C5A"/>
    <w:rsid w:val="008D0194"/>
    <w:rsid w:val="008D248B"/>
    <w:rsid w:val="008D2714"/>
    <w:rsid w:val="008E76FD"/>
    <w:rsid w:val="008F0617"/>
    <w:rsid w:val="008F0E98"/>
    <w:rsid w:val="008F1FCE"/>
    <w:rsid w:val="008F3784"/>
    <w:rsid w:val="008F4D89"/>
    <w:rsid w:val="008F60ED"/>
    <w:rsid w:val="00900542"/>
    <w:rsid w:val="009134BE"/>
    <w:rsid w:val="00914991"/>
    <w:rsid w:val="009167E1"/>
    <w:rsid w:val="00921D6C"/>
    <w:rsid w:val="00925880"/>
    <w:rsid w:val="00925E01"/>
    <w:rsid w:val="0094021F"/>
    <w:rsid w:val="009408BD"/>
    <w:rsid w:val="00940B0F"/>
    <w:rsid w:val="009445E1"/>
    <w:rsid w:val="00945875"/>
    <w:rsid w:val="00945F06"/>
    <w:rsid w:val="009505C0"/>
    <w:rsid w:val="00950CA1"/>
    <w:rsid w:val="0095282F"/>
    <w:rsid w:val="0095441A"/>
    <w:rsid w:val="009619A3"/>
    <w:rsid w:val="00963393"/>
    <w:rsid w:val="00963576"/>
    <w:rsid w:val="0096556C"/>
    <w:rsid w:val="009679E5"/>
    <w:rsid w:val="009711F5"/>
    <w:rsid w:val="00980058"/>
    <w:rsid w:val="00980DB6"/>
    <w:rsid w:val="00983403"/>
    <w:rsid w:val="00994A4C"/>
    <w:rsid w:val="00995E17"/>
    <w:rsid w:val="009A453D"/>
    <w:rsid w:val="009B09F8"/>
    <w:rsid w:val="009B5590"/>
    <w:rsid w:val="009B66BF"/>
    <w:rsid w:val="009C1706"/>
    <w:rsid w:val="009C3955"/>
    <w:rsid w:val="009C4820"/>
    <w:rsid w:val="009D2914"/>
    <w:rsid w:val="009D7C03"/>
    <w:rsid w:val="009E0DD2"/>
    <w:rsid w:val="009E1519"/>
    <w:rsid w:val="009E1933"/>
    <w:rsid w:val="009E2772"/>
    <w:rsid w:val="009E6A44"/>
    <w:rsid w:val="009F1FC0"/>
    <w:rsid w:val="009F6BB6"/>
    <w:rsid w:val="00A242F1"/>
    <w:rsid w:val="00A257B3"/>
    <w:rsid w:val="00A273EF"/>
    <w:rsid w:val="00A35072"/>
    <w:rsid w:val="00A36798"/>
    <w:rsid w:val="00A37E13"/>
    <w:rsid w:val="00A4408F"/>
    <w:rsid w:val="00A447BF"/>
    <w:rsid w:val="00A47105"/>
    <w:rsid w:val="00A4789B"/>
    <w:rsid w:val="00A50DEF"/>
    <w:rsid w:val="00A529A2"/>
    <w:rsid w:val="00A531F6"/>
    <w:rsid w:val="00A54129"/>
    <w:rsid w:val="00A54BD6"/>
    <w:rsid w:val="00A57FC1"/>
    <w:rsid w:val="00A60FFD"/>
    <w:rsid w:val="00A6438E"/>
    <w:rsid w:val="00A644D6"/>
    <w:rsid w:val="00A65ECE"/>
    <w:rsid w:val="00A665A5"/>
    <w:rsid w:val="00A665CD"/>
    <w:rsid w:val="00A66A9E"/>
    <w:rsid w:val="00A75736"/>
    <w:rsid w:val="00A75C6B"/>
    <w:rsid w:val="00A817A6"/>
    <w:rsid w:val="00A83137"/>
    <w:rsid w:val="00A966A6"/>
    <w:rsid w:val="00AA4054"/>
    <w:rsid w:val="00AA4D97"/>
    <w:rsid w:val="00AA72DE"/>
    <w:rsid w:val="00AB59BB"/>
    <w:rsid w:val="00AB6685"/>
    <w:rsid w:val="00AB7D7B"/>
    <w:rsid w:val="00AC7A80"/>
    <w:rsid w:val="00AD530A"/>
    <w:rsid w:val="00AE7316"/>
    <w:rsid w:val="00AF1D8B"/>
    <w:rsid w:val="00AF355B"/>
    <w:rsid w:val="00B022D9"/>
    <w:rsid w:val="00B12D79"/>
    <w:rsid w:val="00B16028"/>
    <w:rsid w:val="00B20469"/>
    <w:rsid w:val="00B2547C"/>
    <w:rsid w:val="00B40E38"/>
    <w:rsid w:val="00B413C1"/>
    <w:rsid w:val="00B47AAF"/>
    <w:rsid w:val="00B511C8"/>
    <w:rsid w:val="00B64A76"/>
    <w:rsid w:val="00B65AE7"/>
    <w:rsid w:val="00B73AF7"/>
    <w:rsid w:val="00B86F9A"/>
    <w:rsid w:val="00B90B15"/>
    <w:rsid w:val="00B936F7"/>
    <w:rsid w:val="00B96641"/>
    <w:rsid w:val="00B97FAC"/>
    <w:rsid w:val="00BB3AA0"/>
    <w:rsid w:val="00BB47D7"/>
    <w:rsid w:val="00BB6E9A"/>
    <w:rsid w:val="00BC34C9"/>
    <w:rsid w:val="00BC5CA7"/>
    <w:rsid w:val="00BD058B"/>
    <w:rsid w:val="00BD5ACD"/>
    <w:rsid w:val="00BE34F3"/>
    <w:rsid w:val="00BF3396"/>
    <w:rsid w:val="00BF5109"/>
    <w:rsid w:val="00C071F0"/>
    <w:rsid w:val="00C075EF"/>
    <w:rsid w:val="00C07C7C"/>
    <w:rsid w:val="00C1767F"/>
    <w:rsid w:val="00C20CB9"/>
    <w:rsid w:val="00C20E76"/>
    <w:rsid w:val="00C347CC"/>
    <w:rsid w:val="00C35D3E"/>
    <w:rsid w:val="00C40643"/>
    <w:rsid w:val="00C431DF"/>
    <w:rsid w:val="00C44883"/>
    <w:rsid w:val="00C46CDC"/>
    <w:rsid w:val="00C534AF"/>
    <w:rsid w:val="00C5420D"/>
    <w:rsid w:val="00C54510"/>
    <w:rsid w:val="00C55BD9"/>
    <w:rsid w:val="00C57D82"/>
    <w:rsid w:val="00C607D7"/>
    <w:rsid w:val="00C75FCE"/>
    <w:rsid w:val="00C77DD4"/>
    <w:rsid w:val="00C80EE9"/>
    <w:rsid w:val="00C8342C"/>
    <w:rsid w:val="00C83A1E"/>
    <w:rsid w:val="00C85510"/>
    <w:rsid w:val="00C90153"/>
    <w:rsid w:val="00C94E1A"/>
    <w:rsid w:val="00C968CF"/>
    <w:rsid w:val="00CA2FDD"/>
    <w:rsid w:val="00CA35F2"/>
    <w:rsid w:val="00CA6EF0"/>
    <w:rsid w:val="00CA7ADB"/>
    <w:rsid w:val="00CB03EF"/>
    <w:rsid w:val="00CB236E"/>
    <w:rsid w:val="00CB3345"/>
    <w:rsid w:val="00CC01F8"/>
    <w:rsid w:val="00CC4FF9"/>
    <w:rsid w:val="00CC593B"/>
    <w:rsid w:val="00CD32D4"/>
    <w:rsid w:val="00CD5E23"/>
    <w:rsid w:val="00CD7F70"/>
    <w:rsid w:val="00CE0B93"/>
    <w:rsid w:val="00CE6796"/>
    <w:rsid w:val="00CE7065"/>
    <w:rsid w:val="00CF2AF6"/>
    <w:rsid w:val="00D023BD"/>
    <w:rsid w:val="00D054A5"/>
    <w:rsid w:val="00D056C0"/>
    <w:rsid w:val="00D070E8"/>
    <w:rsid w:val="00D10A74"/>
    <w:rsid w:val="00D24165"/>
    <w:rsid w:val="00D348AB"/>
    <w:rsid w:val="00D41EC3"/>
    <w:rsid w:val="00D429F5"/>
    <w:rsid w:val="00D45D86"/>
    <w:rsid w:val="00D503DA"/>
    <w:rsid w:val="00D51B98"/>
    <w:rsid w:val="00D53B2E"/>
    <w:rsid w:val="00D54FB0"/>
    <w:rsid w:val="00D566DB"/>
    <w:rsid w:val="00D632FB"/>
    <w:rsid w:val="00D6498D"/>
    <w:rsid w:val="00D65F96"/>
    <w:rsid w:val="00D67785"/>
    <w:rsid w:val="00D81A8A"/>
    <w:rsid w:val="00D84839"/>
    <w:rsid w:val="00D8788C"/>
    <w:rsid w:val="00DA15A0"/>
    <w:rsid w:val="00DA4734"/>
    <w:rsid w:val="00DA5667"/>
    <w:rsid w:val="00DB11CE"/>
    <w:rsid w:val="00DB3D47"/>
    <w:rsid w:val="00DC0358"/>
    <w:rsid w:val="00DC0743"/>
    <w:rsid w:val="00DC32E0"/>
    <w:rsid w:val="00DC56BE"/>
    <w:rsid w:val="00DC5E88"/>
    <w:rsid w:val="00DD14F5"/>
    <w:rsid w:val="00DD2FFC"/>
    <w:rsid w:val="00DD7CDD"/>
    <w:rsid w:val="00DE3295"/>
    <w:rsid w:val="00DE6136"/>
    <w:rsid w:val="00DE64EC"/>
    <w:rsid w:val="00DE769F"/>
    <w:rsid w:val="00DF6F93"/>
    <w:rsid w:val="00E03512"/>
    <w:rsid w:val="00E0640D"/>
    <w:rsid w:val="00E10FBC"/>
    <w:rsid w:val="00E1149F"/>
    <w:rsid w:val="00E14C56"/>
    <w:rsid w:val="00E157CD"/>
    <w:rsid w:val="00E17309"/>
    <w:rsid w:val="00E236E7"/>
    <w:rsid w:val="00E31DB2"/>
    <w:rsid w:val="00E334C3"/>
    <w:rsid w:val="00E45166"/>
    <w:rsid w:val="00E47E9B"/>
    <w:rsid w:val="00E512EA"/>
    <w:rsid w:val="00E53B35"/>
    <w:rsid w:val="00E5435C"/>
    <w:rsid w:val="00E54415"/>
    <w:rsid w:val="00E6554E"/>
    <w:rsid w:val="00E70C09"/>
    <w:rsid w:val="00E77778"/>
    <w:rsid w:val="00E84C9C"/>
    <w:rsid w:val="00E9341D"/>
    <w:rsid w:val="00E94CE9"/>
    <w:rsid w:val="00E97456"/>
    <w:rsid w:val="00EA6D33"/>
    <w:rsid w:val="00EA767C"/>
    <w:rsid w:val="00EA787D"/>
    <w:rsid w:val="00EB3929"/>
    <w:rsid w:val="00EB5039"/>
    <w:rsid w:val="00EC27A3"/>
    <w:rsid w:val="00EC52F0"/>
    <w:rsid w:val="00EC5BDD"/>
    <w:rsid w:val="00EC5D3A"/>
    <w:rsid w:val="00EE0B30"/>
    <w:rsid w:val="00EE11CA"/>
    <w:rsid w:val="00EE479D"/>
    <w:rsid w:val="00EE7855"/>
    <w:rsid w:val="00EF3878"/>
    <w:rsid w:val="00EF7420"/>
    <w:rsid w:val="00F00C1F"/>
    <w:rsid w:val="00F04FB1"/>
    <w:rsid w:val="00F1459E"/>
    <w:rsid w:val="00F2211A"/>
    <w:rsid w:val="00F27368"/>
    <w:rsid w:val="00F32B7B"/>
    <w:rsid w:val="00F33291"/>
    <w:rsid w:val="00F34A03"/>
    <w:rsid w:val="00F6283E"/>
    <w:rsid w:val="00F6291A"/>
    <w:rsid w:val="00F6534E"/>
    <w:rsid w:val="00F671F0"/>
    <w:rsid w:val="00F70AA6"/>
    <w:rsid w:val="00F71241"/>
    <w:rsid w:val="00F74AD0"/>
    <w:rsid w:val="00F74BB5"/>
    <w:rsid w:val="00F74CB9"/>
    <w:rsid w:val="00F74E34"/>
    <w:rsid w:val="00F76BE1"/>
    <w:rsid w:val="00F87D88"/>
    <w:rsid w:val="00F90731"/>
    <w:rsid w:val="00F95068"/>
    <w:rsid w:val="00FA1D06"/>
    <w:rsid w:val="00FA24E1"/>
    <w:rsid w:val="00FA408E"/>
    <w:rsid w:val="00FA53E1"/>
    <w:rsid w:val="00FA67BA"/>
    <w:rsid w:val="00FA67BF"/>
    <w:rsid w:val="00FB18DB"/>
    <w:rsid w:val="00FB767B"/>
    <w:rsid w:val="00FC0CF4"/>
    <w:rsid w:val="00FC4957"/>
    <w:rsid w:val="00FD00D3"/>
    <w:rsid w:val="00FD5144"/>
    <w:rsid w:val="00FD7F23"/>
    <w:rsid w:val="00FE1455"/>
    <w:rsid w:val="00FE2C04"/>
    <w:rsid w:val="00FE49FD"/>
    <w:rsid w:val="00FF1659"/>
    <w:rsid w:val="00FF1B7B"/>
    <w:rsid w:val="00FF3A60"/>
    <w:rsid w:val="00FF3CEE"/>
    <w:rsid w:val="00FF5F50"/>
    <w:rsid w:val="010641CA"/>
    <w:rsid w:val="01142DE7"/>
    <w:rsid w:val="177E7DD8"/>
    <w:rsid w:val="195C3BF3"/>
    <w:rsid w:val="1F173EDB"/>
    <w:rsid w:val="1F7D576F"/>
    <w:rsid w:val="3EEC2CAD"/>
    <w:rsid w:val="42FE7E69"/>
    <w:rsid w:val="495F3F01"/>
    <w:rsid w:val="4B76607B"/>
    <w:rsid w:val="4C3E1856"/>
    <w:rsid w:val="57644396"/>
    <w:rsid w:val="59EE45FC"/>
    <w:rsid w:val="5C6410EB"/>
    <w:rsid w:val="5D2D0A2C"/>
    <w:rsid w:val="69E437EA"/>
    <w:rsid w:val="6D4E7DA2"/>
    <w:rsid w:val="70C811E0"/>
    <w:rsid w:val="77543DD8"/>
    <w:rsid w:val="776656E2"/>
    <w:rsid w:val="7C091455"/>
    <w:rsid w:val="7E4B6B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macro"/>
    <w:link w:val="5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6">
    <w:name w:val="toc 3"/>
    <w:basedOn w:val="1"/>
    <w:next w:val="1"/>
    <w:unhideWhenUsed/>
    <w:qFormat/>
    <w:uiPriority w:val="39"/>
    <w:pPr>
      <w:tabs>
        <w:tab w:val="right" w:leader="dot" w:pos="8931"/>
      </w:tabs>
      <w:spacing w:line="580" w:lineRule="exact"/>
      <w:jc w:val="center"/>
    </w:pPr>
  </w:style>
  <w:style w:type="paragraph" w:styleId="7">
    <w:name w:val="Plain Text"/>
    <w:basedOn w:val="1"/>
    <w:link w:val="51"/>
    <w:unhideWhenUsed/>
    <w:qFormat/>
    <w:uiPriority w:val="0"/>
    <w:rPr>
      <w:rFonts w:ascii="宋体" w:hAnsi="Courier New" w:cs="Courier New" w:eastAsiaTheme="minorEastAsia"/>
      <w:szCs w:val="21"/>
    </w:rPr>
  </w:style>
  <w:style w:type="paragraph" w:styleId="8">
    <w:name w:val="index 3"/>
    <w:basedOn w:val="1"/>
    <w:next w:val="1"/>
    <w:qFormat/>
    <w:uiPriority w:val="0"/>
    <w:pPr>
      <w:widowControl/>
      <w:overflowPunct w:val="0"/>
      <w:autoSpaceDE w:val="0"/>
      <w:autoSpaceDN w:val="0"/>
      <w:adjustRightInd w:val="0"/>
      <w:ind w:left="400" w:leftChars="400"/>
    </w:pPr>
    <w:rPr>
      <w:kern w:val="0"/>
      <w:szCs w:val="20"/>
    </w:rPr>
  </w:style>
  <w:style w:type="paragraph" w:styleId="9">
    <w:name w:val="Date"/>
    <w:basedOn w:val="1"/>
    <w:next w:val="1"/>
    <w:link w:val="60"/>
    <w:unhideWhenUsed/>
    <w:qFormat/>
    <w:uiPriority w:val="99"/>
    <w:pPr>
      <w:ind w:left="100" w:leftChars="2500"/>
    </w:pPr>
  </w:style>
  <w:style w:type="paragraph" w:styleId="10">
    <w:name w:val="Balloon Text"/>
    <w:basedOn w:val="1"/>
    <w:link w:val="40"/>
    <w:unhideWhenUsed/>
    <w:qFormat/>
    <w:uiPriority w:val="0"/>
    <w:pPr>
      <w:spacing w:line="590" w:lineRule="exact"/>
      <w:ind w:firstLine="200" w:firstLineChars="200"/>
    </w:pPr>
    <w:rPr>
      <w:rFonts w:ascii="仿宋_GB2312" w:eastAsia="仿宋_GB2312"/>
      <w:spacing w:val="6"/>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931"/>
      </w:tabs>
      <w:spacing w:line="600" w:lineRule="exact"/>
      <w:jc w:val="center"/>
    </w:pPr>
    <w:rPr>
      <w:kern w:val="0"/>
      <w:sz w:val="28"/>
      <w:szCs w:val="28"/>
    </w:rPr>
  </w:style>
  <w:style w:type="paragraph" w:styleId="14">
    <w:name w:val="toc 2"/>
    <w:basedOn w:val="1"/>
    <w:next w:val="1"/>
    <w:unhideWhenUsed/>
    <w:qFormat/>
    <w:uiPriority w:val="39"/>
    <w:pPr>
      <w:tabs>
        <w:tab w:val="right" w:leader="dot" w:pos="8948"/>
      </w:tabs>
      <w:ind w:left="566" w:hanging="566" w:hangingChars="202"/>
    </w:pPr>
  </w:style>
  <w:style w:type="paragraph" w:styleId="15">
    <w:name w:val="Body Text 2"/>
    <w:basedOn w:val="1"/>
    <w:link w:val="44"/>
    <w:qFormat/>
    <w:uiPriority w:val="0"/>
    <w:pPr>
      <w:widowControl/>
      <w:overflowPunct w:val="0"/>
      <w:autoSpaceDE w:val="0"/>
      <w:autoSpaceDN w:val="0"/>
      <w:adjustRightInd w:val="0"/>
      <w:spacing w:after="120" w:line="480" w:lineRule="auto"/>
    </w:pPr>
    <w:rPr>
      <w:kern w:val="0"/>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Emphasis"/>
    <w:basedOn w:val="20"/>
    <w:qFormat/>
    <w:uiPriority w:val="20"/>
    <w:rPr>
      <w:i/>
      <w:iCs/>
    </w:rPr>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customStyle="1" w:styleId="24">
    <w:name w:val="页眉 Char"/>
    <w:basedOn w:val="20"/>
    <w:link w:val="12"/>
    <w:qFormat/>
    <w:uiPriority w:val="99"/>
    <w:rPr>
      <w:sz w:val="18"/>
      <w:szCs w:val="18"/>
    </w:rPr>
  </w:style>
  <w:style w:type="character" w:customStyle="1" w:styleId="25">
    <w:name w:val="页脚 Char"/>
    <w:basedOn w:val="20"/>
    <w:link w:val="11"/>
    <w:qFormat/>
    <w:uiPriority w:val="99"/>
    <w:rPr>
      <w:sz w:val="18"/>
      <w:szCs w:val="18"/>
    </w:rPr>
  </w:style>
  <w:style w:type="character" w:customStyle="1" w:styleId="26">
    <w:name w:val="标题 Char"/>
    <w:basedOn w:val="20"/>
    <w:link w:val="17"/>
    <w:qFormat/>
    <w:uiPriority w:val="10"/>
    <w:rPr>
      <w:rFonts w:eastAsia="宋体" w:asciiTheme="majorHAnsi" w:hAnsiTheme="majorHAnsi" w:cstheme="majorBidi"/>
      <w:b/>
      <w:bCs/>
      <w:sz w:val="32"/>
      <w:szCs w:val="32"/>
    </w:rPr>
  </w:style>
  <w:style w:type="character" w:customStyle="1" w:styleId="27">
    <w:name w:val="标题 1 Char"/>
    <w:basedOn w:val="20"/>
    <w:link w:val="3"/>
    <w:qFormat/>
    <w:uiPriority w:val="9"/>
    <w:rPr>
      <w:b/>
      <w:bCs/>
      <w:kern w:val="44"/>
      <w:sz w:val="44"/>
      <w:szCs w:val="44"/>
    </w:rPr>
  </w:style>
  <w:style w:type="paragraph" w:customStyle="1" w:styleId="2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标题 2 Char"/>
    <w:basedOn w:val="20"/>
    <w:link w:val="4"/>
    <w:qFormat/>
    <w:uiPriority w:val="9"/>
    <w:rPr>
      <w:rFonts w:asciiTheme="majorHAnsi" w:hAnsiTheme="majorHAnsi" w:eastAsiaTheme="majorEastAsia" w:cstheme="majorBidi"/>
      <w:b/>
      <w:bCs/>
      <w:sz w:val="32"/>
      <w:szCs w:val="32"/>
    </w:rPr>
  </w:style>
  <w:style w:type="paragraph" w:customStyle="1" w:styleId="30">
    <w:name w:val="列出段落1"/>
    <w:basedOn w:val="1"/>
    <w:qFormat/>
    <w:uiPriority w:val="34"/>
    <w:pPr>
      <w:ind w:firstLine="420" w:firstLineChars="200"/>
    </w:pPr>
  </w:style>
  <w:style w:type="paragraph" w:customStyle="1" w:styleId="31">
    <w:name w:val="a0"/>
    <w:basedOn w:val="1"/>
    <w:qFormat/>
    <w:uiPriority w:val="0"/>
    <w:pPr>
      <w:spacing w:line="360" w:lineRule="auto"/>
      <w:ind w:firstLine="200" w:firstLineChars="200"/>
      <w:jc w:val="left"/>
    </w:pPr>
    <w:rPr>
      <w:rFonts w:ascii="仿宋_GB2312" w:hAnsi="宋体"/>
      <w:sz w:val="28"/>
      <w:szCs w:val="28"/>
    </w:rPr>
  </w:style>
  <w:style w:type="paragraph" w:customStyle="1" w:styleId="32">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3">
    <w:name w:val="标题3 Char"/>
    <w:link w:val="34"/>
    <w:qFormat/>
    <w:uiPriority w:val="0"/>
    <w:rPr>
      <w:rFonts w:ascii="宋体" w:hAnsi="宋体" w:eastAsia="宋体" w:cs="仿宋"/>
      <w:b/>
      <w:spacing w:val="6"/>
      <w:sz w:val="30"/>
      <w:szCs w:val="30"/>
    </w:rPr>
  </w:style>
  <w:style w:type="paragraph" w:customStyle="1" w:styleId="34">
    <w:name w:val="标题3"/>
    <w:basedOn w:val="1"/>
    <w:link w:val="33"/>
    <w:qFormat/>
    <w:uiPriority w:val="0"/>
    <w:pPr>
      <w:autoSpaceDE w:val="0"/>
      <w:autoSpaceDN w:val="0"/>
      <w:adjustRightInd w:val="0"/>
      <w:snapToGrid w:val="0"/>
      <w:spacing w:line="600" w:lineRule="exact"/>
      <w:ind w:firstLine="626" w:firstLineChars="200"/>
      <w:jc w:val="left"/>
    </w:pPr>
    <w:rPr>
      <w:rFonts w:ascii="宋体" w:hAnsi="宋体" w:cs="仿宋"/>
      <w:b/>
      <w:spacing w:val="6"/>
      <w:sz w:val="30"/>
      <w:szCs w:val="30"/>
    </w:rPr>
  </w:style>
  <w:style w:type="character" w:customStyle="1" w:styleId="35">
    <w:name w:val="标题 3 Char"/>
    <w:basedOn w:val="20"/>
    <w:link w:val="5"/>
    <w:qFormat/>
    <w:uiPriority w:val="0"/>
    <w:rPr>
      <w:b/>
      <w:bCs/>
      <w:sz w:val="32"/>
      <w:szCs w:val="32"/>
    </w:rPr>
  </w:style>
  <w:style w:type="paragraph" w:customStyle="1" w:styleId="36">
    <w:name w:val="正文2"/>
    <w:qFormat/>
    <w:uiPriority w:val="0"/>
    <w:pPr>
      <w:widowControl w:val="0"/>
      <w:jc w:val="both"/>
    </w:pPr>
    <w:rPr>
      <w:rFonts w:hint="eastAsia" w:ascii="Times New Roman" w:hAnsi="Times New Roman" w:eastAsia="仿宋_GB2312" w:cs="Times New Roman"/>
      <w:kern w:val="2"/>
      <w:sz w:val="32"/>
      <w:lang w:val="en-US" w:eastAsia="zh-CN" w:bidi="ar-SA"/>
    </w:rPr>
  </w:style>
  <w:style w:type="paragraph" w:customStyle="1" w:styleId="37">
    <w:name w:val="正文1"/>
    <w:basedOn w:val="1"/>
    <w:link w:val="38"/>
    <w:qFormat/>
    <w:uiPriority w:val="0"/>
    <w:pPr>
      <w:autoSpaceDE w:val="0"/>
      <w:autoSpaceDN w:val="0"/>
      <w:adjustRightInd w:val="0"/>
      <w:snapToGrid w:val="0"/>
      <w:spacing w:line="600" w:lineRule="exact"/>
      <w:ind w:firstLine="624" w:firstLineChars="200"/>
    </w:pPr>
    <w:rPr>
      <w:rFonts w:ascii="宋体" w:hAnsi="宋体" w:eastAsia="仿宋_GB2312"/>
      <w:spacing w:val="6"/>
      <w:sz w:val="30"/>
    </w:rPr>
  </w:style>
  <w:style w:type="character" w:customStyle="1" w:styleId="38">
    <w:name w:val="正文1 Char"/>
    <w:link w:val="37"/>
    <w:qFormat/>
    <w:uiPriority w:val="0"/>
    <w:rPr>
      <w:rFonts w:ascii="宋体" w:hAnsi="宋体" w:eastAsia="仿宋_GB2312" w:cs="Times New Roman"/>
      <w:spacing w:val="6"/>
      <w:sz w:val="30"/>
      <w:szCs w:val="24"/>
    </w:rPr>
  </w:style>
  <w:style w:type="paragraph" w:customStyle="1" w:styleId="39">
    <w:name w:val="Char"/>
    <w:basedOn w:val="1"/>
    <w:qFormat/>
    <w:uiPriority w:val="0"/>
    <w:pPr>
      <w:widowControl/>
      <w:jc w:val="left"/>
    </w:pPr>
    <w:rPr>
      <w:rFonts w:ascii="宋体" w:hAnsi="宋体" w:cs="宋体"/>
      <w:kern w:val="0"/>
      <w:sz w:val="24"/>
    </w:rPr>
  </w:style>
  <w:style w:type="character" w:customStyle="1" w:styleId="40">
    <w:name w:val="批注框文本 Char"/>
    <w:basedOn w:val="20"/>
    <w:link w:val="10"/>
    <w:qFormat/>
    <w:uiPriority w:val="0"/>
    <w:rPr>
      <w:rFonts w:ascii="仿宋_GB2312" w:eastAsia="仿宋_GB2312"/>
      <w:spacing w:val="6"/>
      <w:sz w:val="18"/>
      <w:szCs w:val="18"/>
    </w:rPr>
  </w:style>
  <w:style w:type="paragraph" w:customStyle="1" w:styleId="4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42">
    <w:name w:val="_Style 2"/>
    <w:basedOn w:val="1"/>
    <w:qFormat/>
    <w:uiPriority w:val="0"/>
    <w:pPr>
      <w:widowControl/>
      <w:jc w:val="left"/>
    </w:pPr>
    <w:rPr>
      <w:rFonts w:ascii="宋体" w:hAnsi="宋体" w:cs="宋体"/>
      <w:kern w:val="0"/>
      <w:sz w:val="24"/>
    </w:rPr>
  </w:style>
  <w:style w:type="character" w:customStyle="1" w:styleId="43">
    <w:name w:val="公文正文"/>
    <w:basedOn w:val="20"/>
    <w:qFormat/>
    <w:uiPriority w:val="0"/>
    <w:rPr>
      <w:rFonts w:hint="eastAsia" w:ascii="仿宋_GB2312" w:eastAsia="仿宋_GB2312"/>
      <w:sz w:val="32"/>
    </w:rPr>
  </w:style>
  <w:style w:type="character" w:customStyle="1" w:styleId="44">
    <w:name w:val="正文文本 2 Char"/>
    <w:basedOn w:val="20"/>
    <w:link w:val="15"/>
    <w:qFormat/>
    <w:uiPriority w:val="0"/>
    <w:rPr>
      <w:rFonts w:ascii="Times New Roman" w:hAnsi="Times New Roman" w:eastAsia="宋体" w:cs="Times New Roman"/>
      <w:kern w:val="0"/>
      <w:szCs w:val="20"/>
    </w:rPr>
  </w:style>
  <w:style w:type="paragraph" w:customStyle="1" w:styleId="45">
    <w:name w:val="列出段落11"/>
    <w:basedOn w:val="1"/>
    <w:qFormat/>
    <w:uiPriority w:val="34"/>
    <w:pPr>
      <w:ind w:firstLine="420" w:firstLineChars="200"/>
    </w:pPr>
    <w:rPr>
      <w:rFonts w:ascii="Calibri" w:hAnsi="Calibri"/>
    </w:rPr>
  </w:style>
  <w:style w:type="paragraph" w:customStyle="1" w:styleId="4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47">
    <w:name w:val="Char1"/>
    <w:basedOn w:val="1"/>
    <w:qFormat/>
    <w:uiPriority w:val="0"/>
    <w:rPr>
      <w:rFonts w:ascii="宋体" w:hAnsi="宋体" w:cs="Courier New"/>
      <w:sz w:val="32"/>
      <w:szCs w:val="32"/>
    </w:rPr>
  </w:style>
  <w:style w:type="character" w:customStyle="1" w:styleId="48">
    <w:name w:val="书籍标题1"/>
    <w:basedOn w:val="20"/>
    <w:qFormat/>
    <w:uiPriority w:val="0"/>
    <w:rPr>
      <w:rFonts w:cs="Times New Roman"/>
      <w:b/>
      <w:bCs/>
      <w:smallCaps/>
      <w:spacing w:val="5"/>
    </w:rPr>
  </w:style>
  <w:style w:type="character" w:customStyle="1" w:styleId="49">
    <w:name w:val="纯文本 Char"/>
    <w:basedOn w:val="20"/>
    <w:qFormat/>
    <w:uiPriority w:val="0"/>
    <w:rPr>
      <w:rFonts w:ascii="宋体" w:hAnsi="Courier New" w:cs="Courier New"/>
      <w:szCs w:val="21"/>
    </w:rPr>
  </w:style>
  <w:style w:type="character" w:customStyle="1" w:styleId="50">
    <w:name w:val="标题 2 Char1"/>
    <w:basedOn w:val="20"/>
    <w:semiHidden/>
    <w:qFormat/>
    <w:uiPriority w:val="0"/>
    <w:rPr>
      <w:rFonts w:ascii="Cambria" w:hAnsi="Cambria" w:eastAsia="宋体" w:cs="Times New Roman"/>
      <w:b/>
      <w:bCs/>
      <w:kern w:val="2"/>
      <w:sz w:val="32"/>
      <w:szCs w:val="32"/>
    </w:rPr>
  </w:style>
  <w:style w:type="character" w:customStyle="1" w:styleId="51">
    <w:name w:val="纯文本 Char1"/>
    <w:basedOn w:val="20"/>
    <w:link w:val="7"/>
    <w:semiHidden/>
    <w:qFormat/>
    <w:uiPriority w:val="99"/>
    <w:rPr>
      <w:rFonts w:ascii="宋体" w:hAnsi="Courier New" w:eastAsia="宋体" w:cs="Courier New"/>
      <w:szCs w:val="21"/>
    </w:rPr>
  </w:style>
  <w:style w:type="paragraph" w:customStyle="1" w:styleId="52">
    <w:name w:val="Char Char Char Char Char Char Char Char Char Char Char Char"/>
    <w:basedOn w:val="1"/>
    <w:next w:val="13"/>
    <w:semiHidden/>
    <w:qFormat/>
    <w:uiPriority w:val="0"/>
    <w:rPr>
      <w:sz w:val="28"/>
      <w:szCs w:val="28"/>
    </w:rPr>
  </w:style>
  <w:style w:type="character" w:customStyle="1" w:styleId="53">
    <w:name w:val="宏文本 Char"/>
    <w:basedOn w:val="20"/>
    <w:link w:val="2"/>
    <w:qFormat/>
    <w:uiPriority w:val="0"/>
    <w:rPr>
      <w:rFonts w:ascii="Courier New" w:hAnsi="Courier New" w:eastAsia="宋体" w:cs="Courier New"/>
      <w:sz w:val="24"/>
      <w:szCs w:val="24"/>
    </w:rPr>
  </w:style>
  <w:style w:type="character" w:customStyle="1" w:styleId="54">
    <w:name w:val="公文校对"/>
    <w:basedOn w:val="20"/>
    <w:qFormat/>
    <w:uiPriority w:val="0"/>
    <w:rPr>
      <w:rFonts w:eastAsia="仿宋_GB2312"/>
      <w:sz w:val="28"/>
    </w:rPr>
  </w:style>
  <w:style w:type="character" w:customStyle="1" w:styleId="55">
    <w:name w:val="apple-converted-space"/>
    <w:qFormat/>
    <w:uiPriority w:val="0"/>
    <w:rPr>
      <w:rFonts w:cs="Times New Roman"/>
    </w:rPr>
  </w:style>
  <w:style w:type="paragraph" w:customStyle="1" w:styleId="56">
    <w:name w:val="页脚1"/>
    <w:basedOn w:val="1"/>
    <w:qFormat/>
    <w:uiPriority w:val="0"/>
    <w:pPr>
      <w:tabs>
        <w:tab w:val="center" w:pos="4153"/>
        <w:tab w:val="right" w:pos="8306"/>
      </w:tabs>
      <w:snapToGrid w:val="0"/>
      <w:jc w:val="left"/>
    </w:pPr>
    <w:rPr>
      <w:sz w:val="18"/>
      <w:szCs w:val="18"/>
    </w:rPr>
  </w:style>
  <w:style w:type="paragraph" w:customStyle="1" w:styleId="5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p31"/>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Char Char Char Char"/>
    <w:basedOn w:val="1"/>
    <w:qFormat/>
    <w:uiPriority w:val="0"/>
    <w:rPr>
      <w:rFonts w:ascii="Tahoma" w:hAnsi="Tahoma"/>
      <w:sz w:val="24"/>
      <w:szCs w:val="20"/>
    </w:rPr>
  </w:style>
  <w:style w:type="character" w:customStyle="1" w:styleId="60">
    <w:name w:val="日期 Char"/>
    <w:basedOn w:val="20"/>
    <w:link w:val="9"/>
    <w:semiHidden/>
    <w:qFormat/>
    <w:uiPriority w:val="99"/>
    <w:rPr>
      <w:rFonts w:ascii="Times New Roman" w:hAnsi="Times New Roman" w:eastAsia="宋体" w:cs="Times New Roman"/>
      <w:kern w:val="2"/>
      <w:sz w:val="21"/>
      <w:szCs w:val="24"/>
    </w:rPr>
  </w:style>
  <w:style w:type="paragraph" w:customStyle="1" w:styleId="61">
    <w:name w:val="列出段落2"/>
    <w:basedOn w:val="1"/>
    <w:unhideWhenUsed/>
    <w:qFormat/>
    <w:uiPriority w:val="99"/>
    <w:pPr>
      <w:ind w:firstLine="420" w:firstLineChars="200"/>
    </w:pPr>
  </w:style>
  <w:style w:type="paragraph" w:customStyle="1" w:styleId="6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63">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styleId="6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ABB9-5829-4FC7-85C8-6B90C16039D7}">
  <ds:schemaRefs/>
</ds:datastoreItem>
</file>

<file path=docProps/app.xml><?xml version="1.0" encoding="utf-8"?>
<Properties xmlns="http://schemas.openxmlformats.org/officeDocument/2006/extended-properties" xmlns:vt="http://schemas.openxmlformats.org/officeDocument/2006/docPropsVTypes">
  <Template>Normal</Template>
  <Company>kmqxkjs</Company>
  <Pages>30</Pages>
  <Words>2370</Words>
  <Characters>13514</Characters>
  <Lines>112</Lines>
  <Paragraphs>31</Paragraphs>
  <TotalTime>2</TotalTime>
  <ScaleCrop>false</ScaleCrop>
  <LinksUpToDate>false</LinksUpToDate>
  <CharactersWithSpaces>15853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2017-09-21T09:58:00Z</dcterms:created>
  <dc:creator>xiong xu</dc:creator>
  <cp:lastModifiedBy>钗螯贳酒</cp:lastModifiedBy>
  <cp:lastPrinted>2015-11-12T04:27:00Z</cp:lastPrinted>
  <dcterms:modified xsi:type="dcterms:W3CDTF">2023-09-19T07:33:52Z</dcterms:modified>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369CE20D697C4C42B9D0D542B72F9A62</vt:lpwstr>
  </property>
</Properties>
</file>