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52070</wp:posOffset>
            </wp:positionV>
            <wp:extent cx="6905625" cy="2952115"/>
            <wp:effectExtent l="0" t="0" r="9525" b="635"/>
            <wp:wrapNone/>
            <wp:docPr id="1" name="图片 1" descr="C:\Users\Administrator\Desktop\微信图片_2019031717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90317171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海应急发</w:t>
      </w:r>
      <w:r>
        <w:rPr>
          <w:rFonts w:ascii="Times New Roman" w:hAnsi="方正仿宋_GBK" w:eastAsia="方正仿宋_GBK" w:cs="Times New Roman"/>
          <w:sz w:val="32"/>
          <w:szCs w:val="32"/>
        </w:rPr>
        <w:t>﹝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</w:t>
      </w:r>
      <w:r>
        <w:rPr>
          <w:rFonts w:ascii="Times New Roman" w:hAnsi="方正仿宋_GBK" w:eastAsia="方正仿宋_GBK" w:cs="Times New Roman"/>
          <w:sz w:val="32"/>
          <w:szCs w:val="32"/>
        </w:rPr>
        <w:t>﹞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autoSpaceDE w:val="0"/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勐海县应急管理局关于成立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整改落实历次巡视巡察反馈意见未完成整改问题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各股室、执法监察大队、有关企业：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中共勐海县委办公室《关于进一步整改落实历次巡视巡察反馈意见未完成整改问题的通知》〔2022〕47号文件精神，进一步压实“矿产资源管理混乱”问题的主体责任。经局党委研究，决定成立整改落实历次巡视巡察反馈意见未完成整改问题专班。其专班组成人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  长：朱家均   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副组长：刘  鑫   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岩温丙   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  艳   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唐金林   局党委委员、安全生产监察专员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员：邹富民   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刘昌华   监管二股负责人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仲绍平   监管一股负责人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何文院   应急股四级主任科员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杨  超   应急指挥中心工作人员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王集武   监管二股工作人员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工作专班负责关于“矿产资源管理混乱”有关问题的组织协调，以最坚决的态度、最严格的要求，最有力的举措、最扎实的作风抓好整改工作落实。领导小组下设办公室，设在应急管理局监管二股，办公室主任由岩温丙兼任，成员由刘昌华、杨超、王集武组成承担专班日常工作任务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5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5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2022年8月16日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thick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thick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 xml:space="preserve">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 xml:space="preserve"> 勐海县应急管理局                     2022年</w:t>
      </w:r>
      <w:r>
        <w:rPr>
          <w:rFonts w:hint="eastAsia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 xml:space="preserve">日印发 </w:t>
      </w:r>
      <w:r>
        <w:rPr>
          <w:rFonts w:hint="eastAsia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/>
                    <w:sz w:val="28"/>
                  </w:rPr>
                  <w:fldChar w:fldCharType="begin"/>
                </w:r>
                <w:r>
                  <w:rPr>
                    <w:rFonts w:hint="eastAsia" w:ascii="宋体" w:hAnsi="宋体"/>
                    <w:sz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/>
                    <w:sz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- 1 -</w:t>
                </w:r>
                <w:r>
                  <w:rPr>
                    <w:rFonts w:hint="eastAsia" w:ascii="宋体" w:hAnsi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2MTkzYjNlOWUwYmM3YjM0ODI4NGM5MWE0MzEzN2QifQ=="/>
  </w:docVars>
  <w:rsids>
    <w:rsidRoot w:val="002B5D54"/>
    <w:rsid w:val="000E4250"/>
    <w:rsid w:val="001A352D"/>
    <w:rsid w:val="002B5D54"/>
    <w:rsid w:val="002E21BE"/>
    <w:rsid w:val="002F244C"/>
    <w:rsid w:val="00667829"/>
    <w:rsid w:val="00A42769"/>
    <w:rsid w:val="00B64BF1"/>
    <w:rsid w:val="00B65A26"/>
    <w:rsid w:val="00E036C8"/>
    <w:rsid w:val="00E25326"/>
    <w:rsid w:val="06372444"/>
    <w:rsid w:val="097F5EDA"/>
    <w:rsid w:val="24D55937"/>
    <w:rsid w:val="25961100"/>
    <w:rsid w:val="267F32B6"/>
    <w:rsid w:val="3A555091"/>
    <w:rsid w:val="3D3148FE"/>
    <w:rsid w:val="42210454"/>
    <w:rsid w:val="43CE0355"/>
    <w:rsid w:val="4E026B94"/>
    <w:rsid w:val="603538D6"/>
    <w:rsid w:val="66AF1615"/>
    <w:rsid w:val="79035E15"/>
    <w:rsid w:val="7A2C321F"/>
    <w:rsid w:val="7F0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478</Words>
  <Characters>494</Characters>
  <Lines>4</Lines>
  <Paragraphs>1</Paragraphs>
  <TotalTime>2</TotalTime>
  <ScaleCrop>false</ScaleCrop>
  <LinksUpToDate>false</LinksUpToDate>
  <CharactersWithSpaces>758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2022-06-28T02:25:00Z</dcterms:created>
  <dc:creator>微软用户</dc:creator>
  <cp:lastModifiedBy>LENOVO</cp:lastModifiedBy>
  <cp:lastPrinted>2019-03-17T09:23:00Z</cp:lastPrinted>
  <dcterms:modified xsi:type="dcterms:W3CDTF">2022-08-16T13:33:16Z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36356504465944659B08975130A60000</vt:lpwstr>
  </property>
</Properties>
</file>